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DE1" w:rsidRDefault="00892DE1">
      <w:pPr>
        <w:pStyle w:val="Standard"/>
        <w:spacing w:line="360" w:lineRule="auto"/>
        <w:jc w:val="center"/>
        <w:rPr>
          <w:rFonts w:cs="Times New Roman"/>
          <w:b/>
          <w:sz w:val="28"/>
          <w:szCs w:val="28"/>
          <w:lang w:val="en-US"/>
        </w:rPr>
      </w:pPr>
      <w:r>
        <w:rPr>
          <w:rFonts w:cs="Times New Roman"/>
          <w:b/>
          <w:sz w:val="28"/>
          <w:szCs w:val="28"/>
          <w:lang w:val="en-US"/>
        </w:rPr>
        <w:t>France – Berkeley Fund Project 2014/15</w:t>
      </w:r>
    </w:p>
    <w:p w:rsidR="00892DE1" w:rsidRDefault="00892DE1">
      <w:pPr>
        <w:pStyle w:val="Standard"/>
        <w:spacing w:line="360" w:lineRule="auto"/>
        <w:jc w:val="center"/>
        <w:rPr>
          <w:rFonts w:cs="Times New Roman"/>
          <w:b/>
          <w:sz w:val="28"/>
          <w:szCs w:val="28"/>
          <w:lang w:val="en-US"/>
        </w:rPr>
      </w:pPr>
    </w:p>
    <w:p w:rsidR="006A73E6" w:rsidRDefault="00E758CE">
      <w:pPr>
        <w:pStyle w:val="Standard"/>
        <w:spacing w:line="360" w:lineRule="auto"/>
        <w:jc w:val="center"/>
        <w:rPr>
          <w:rFonts w:cs="Times New Roman"/>
          <w:b/>
          <w:sz w:val="28"/>
          <w:szCs w:val="28"/>
          <w:lang w:val="en-US"/>
        </w:rPr>
      </w:pPr>
      <w:r>
        <w:rPr>
          <w:rFonts w:cs="Times New Roman"/>
          <w:b/>
          <w:sz w:val="28"/>
          <w:szCs w:val="28"/>
          <w:lang w:val="en-US"/>
        </w:rPr>
        <w:t>The Distinction between Actions and Products and its Importance for Social Ontology and Speech Act Theory</w:t>
      </w:r>
    </w:p>
    <w:p w:rsidR="00892DE1" w:rsidRDefault="00892DE1">
      <w:pPr>
        <w:pStyle w:val="Standard"/>
        <w:spacing w:line="360" w:lineRule="auto"/>
        <w:jc w:val="center"/>
        <w:rPr>
          <w:rFonts w:cs="Times New Roman"/>
          <w:b/>
          <w:sz w:val="28"/>
          <w:szCs w:val="28"/>
          <w:lang w:val="en-US"/>
        </w:rPr>
      </w:pPr>
    </w:p>
    <w:p w:rsidR="00D3182B" w:rsidRDefault="00892DE1">
      <w:pPr>
        <w:pStyle w:val="Standard"/>
        <w:spacing w:line="360" w:lineRule="auto"/>
        <w:jc w:val="center"/>
        <w:rPr>
          <w:rFonts w:cs="Times New Roman"/>
          <w:b/>
          <w:lang w:val="en-US"/>
        </w:rPr>
      </w:pPr>
      <w:r w:rsidRPr="00892DE1">
        <w:rPr>
          <w:rFonts w:cs="Times New Roman"/>
          <w:b/>
          <w:lang w:val="en-US"/>
        </w:rPr>
        <w:t xml:space="preserve">Project leaders: </w:t>
      </w:r>
    </w:p>
    <w:p w:rsidR="00892DE1" w:rsidRPr="00892DE1" w:rsidRDefault="00892DE1">
      <w:pPr>
        <w:pStyle w:val="Standard"/>
        <w:spacing w:line="360" w:lineRule="auto"/>
        <w:jc w:val="center"/>
        <w:rPr>
          <w:rFonts w:cs="Times New Roman"/>
          <w:b/>
          <w:lang w:val="en-US"/>
        </w:rPr>
      </w:pPr>
      <w:r w:rsidRPr="00892DE1">
        <w:rPr>
          <w:rFonts w:cs="Times New Roman"/>
          <w:b/>
          <w:lang w:val="en-US"/>
        </w:rPr>
        <w:t>Friederike Moltmann (CNRS-IHPST) and John Searle (Berkeley)</w:t>
      </w:r>
    </w:p>
    <w:p w:rsidR="00892DE1" w:rsidRDefault="00892DE1">
      <w:pPr>
        <w:pStyle w:val="Standard"/>
        <w:spacing w:line="360" w:lineRule="auto"/>
        <w:jc w:val="center"/>
        <w:rPr>
          <w:rFonts w:cs="Times New Roman"/>
          <w:b/>
          <w:sz w:val="28"/>
          <w:szCs w:val="28"/>
          <w:lang w:val="en-US"/>
        </w:rPr>
      </w:pPr>
    </w:p>
    <w:p w:rsidR="00D3182B" w:rsidRDefault="00D3182B">
      <w:pPr>
        <w:pStyle w:val="Standard"/>
        <w:spacing w:line="360" w:lineRule="auto"/>
        <w:jc w:val="center"/>
        <w:rPr>
          <w:rFonts w:cs="Times New Roman"/>
          <w:b/>
          <w:sz w:val="28"/>
          <w:szCs w:val="28"/>
          <w:lang w:val="en-US"/>
        </w:rPr>
      </w:pPr>
    </w:p>
    <w:p w:rsidR="00D520DB" w:rsidRDefault="00D520DB" w:rsidP="00892DE1">
      <w:pPr>
        <w:pStyle w:val="Standard"/>
        <w:spacing w:line="360" w:lineRule="auto"/>
        <w:rPr>
          <w:rFonts w:cs="Times New Roman"/>
          <w:b/>
          <w:sz w:val="28"/>
          <w:szCs w:val="28"/>
          <w:u w:val="single"/>
          <w:lang w:val="en-US"/>
        </w:rPr>
      </w:pPr>
    </w:p>
    <w:p w:rsidR="00D520DB" w:rsidRPr="00D3182B" w:rsidRDefault="00892DE1" w:rsidP="00892DE1">
      <w:pPr>
        <w:pStyle w:val="Standard"/>
        <w:spacing w:line="360" w:lineRule="auto"/>
        <w:rPr>
          <w:rFonts w:cs="Times New Roman"/>
          <w:b/>
          <w:sz w:val="28"/>
          <w:szCs w:val="28"/>
          <w:u w:val="single"/>
          <w:lang w:val="en-US"/>
        </w:rPr>
      </w:pPr>
      <w:r w:rsidRPr="00892DE1">
        <w:rPr>
          <w:rFonts w:cs="Times New Roman"/>
          <w:b/>
          <w:sz w:val="28"/>
          <w:szCs w:val="28"/>
          <w:u w:val="single"/>
          <w:lang w:val="en-US"/>
        </w:rPr>
        <w:t>De</w:t>
      </w:r>
      <w:r w:rsidR="00D3182B">
        <w:rPr>
          <w:rFonts w:cs="Times New Roman"/>
          <w:b/>
          <w:sz w:val="28"/>
          <w:szCs w:val="28"/>
          <w:u w:val="single"/>
          <w:lang w:val="en-US"/>
        </w:rPr>
        <w:t>scription of the Research Topic</w:t>
      </w:r>
    </w:p>
    <w:p w:rsidR="006A73E6" w:rsidRPr="002D7E7E" w:rsidRDefault="00E758CE">
      <w:pPr>
        <w:pStyle w:val="Standard"/>
        <w:spacing w:line="360" w:lineRule="auto"/>
        <w:rPr>
          <w:lang w:val="en-US"/>
        </w:rPr>
      </w:pPr>
      <w:r>
        <w:rPr>
          <w:rFonts w:cs="Times New Roman"/>
          <w:lang w:val="en-US"/>
        </w:rPr>
        <w:t>Social reality consists of objects constituted, at least in part, by the intentionality of agents. It is the intentionality of agents that conveys objects with functions, representational properties, truth or satisfaction conditions, and normati</w:t>
      </w:r>
      <w:r w:rsidR="00015A7C">
        <w:rPr>
          <w:rFonts w:cs="Times New Roman"/>
          <w:lang w:val="en-US"/>
        </w:rPr>
        <w:t>vity</w:t>
      </w:r>
      <w:r>
        <w:rPr>
          <w:rFonts w:cs="Times New Roman"/>
          <w:lang w:val="en-US"/>
        </w:rPr>
        <w:t>.  This is a central theme in the work of John Searle on social reality. The central question we will pursue in this project is how it is that an intentional act or state can be constitutive of an object, a carrier of representational or normative properties</w:t>
      </w:r>
      <w:r w:rsidR="00015A7C">
        <w:rPr>
          <w:rFonts w:cs="Times New Roman"/>
          <w:lang w:val="en-US"/>
        </w:rPr>
        <w:t>, and more in particular, what</w:t>
      </w:r>
      <w:r>
        <w:rPr>
          <w:rFonts w:cs="Times New Roman"/>
          <w:lang w:val="en-US"/>
        </w:rPr>
        <w:t xml:space="preserve"> does the distinction between an act and the cultural object it produces consist in if, as it may be, the product is not physically realized (as </w:t>
      </w:r>
      <w:r w:rsidR="00015A7C">
        <w:rPr>
          <w:rFonts w:cs="Times New Roman"/>
          <w:lang w:val="en-US"/>
        </w:rPr>
        <w:t>possibly</w:t>
      </w:r>
      <w:r w:rsidR="00D520DB">
        <w:rPr>
          <w:rFonts w:cs="Times New Roman"/>
          <w:lang w:val="en-US"/>
        </w:rPr>
        <w:t xml:space="preserve"> </w:t>
      </w:r>
      <w:r>
        <w:rPr>
          <w:rFonts w:cs="Times New Roman"/>
          <w:lang w:val="en-US"/>
        </w:rPr>
        <w:t xml:space="preserve">a poem, a personal rule, a musical composition or </w:t>
      </w:r>
      <w:r w:rsidR="00015A7C">
        <w:rPr>
          <w:rFonts w:cs="Times New Roman"/>
          <w:lang w:val="en-US"/>
        </w:rPr>
        <w:t xml:space="preserve">an </w:t>
      </w:r>
      <w:r w:rsidRPr="00015A7C">
        <w:rPr>
          <w:rFonts w:cs="Times New Roman"/>
          <w:lang w:val="en-US"/>
        </w:rPr>
        <w:t>electronic file</w:t>
      </w:r>
      <w:r>
        <w:rPr>
          <w:rFonts w:cs="Times New Roman"/>
          <w:lang w:val="en-US"/>
        </w:rPr>
        <w:t xml:space="preserve">).  </w:t>
      </w:r>
    </w:p>
    <w:p w:rsidR="006A73E6" w:rsidRPr="002D7E7E" w:rsidRDefault="00E758CE">
      <w:pPr>
        <w:pStyle w:val="Standard"/>
        <w:spacing w:line="360" w:lineRule="auto"/>
        <w:rPr>
          <w:lang w:val="en-US"/>
        </w:rPr>
      </w:pPr>
      <w:r>
        <w:rPr>
          <w:rFonts w:cs="Times New Roman"/>
          <w:lang w:val="en-US"/>
        </w:rPr>
        <w:t xml:space="preserve">     </w:t>
      </w:r>
      <w:r w:rsidR="00015A7C">
        <w:rPr>
          <w:rFonts w:cs="Times New Roman"/>
          <w:lang w:val="en-US"/>
        </w:rPr>
        <w:t>We</w:t>
      </w:r>
      <w:r>
        <w:rPr>
          <w:rFonts w:cs="Times New Roman"/>
          <w:lang w:val="en-US"/>
        </w:rPr>
        <w:t xml:space="preserve"> will pursue </w:t>
      </w:r>
      <w:r w:rsidR="00015A7C">
        <w:rPr>
          <w:rFonts w:cs="Times New Roman"/>
          <w:lang w:val="en-US"/>
        </w:rPr>
        <w:t>this</w:t>
      </w:r>
      <w:r w:rsidR="009066CF">
        <w:rPr>
          <w:rFonts w:cs="Times New Roman"/>
          <w:lang w:val="en-US"/>
        </w:rPr>
        <w:t xml:space="preserve"> questio</w:t>
      </w:r>
      <w:r w:rsidR="00D67A76">
        <w:rPr>
          <w:rFonts w:cs="Times New Roman"/>
          <w:lang w:val="en-US"/>
        </w:rPr>
        <w:t>n</w:t>
      </w:r>
      <w:r>
        <w:rPr>
          <w:rFonts w:cs="Times New Roman"/>
          <w:lang w:val="en-US"/>
        </w:rPr>
        <w:t xml:space="preserve"> by taking into account both some important historical work from early analytic philosophy and a more linguistic methodology which explores how relevant distinctions are reflected in natural language. The central piece of work for the project is a highly important, but in contemporary analytic philosophy largely neglected paper ‘On Actions and Products’ that the Polish philosopher Twardowsk</w:t>
      </w:r>
      <w:r w:rsidR="00015A7C">
        <w:rPr>
          <w:rFonts w:cs="Times New Roman"/>
          <w:lang w:val="en-US"/>
        </w:rPr>
        <w:t>i (1866-1938) published in 1912</w:t>
      </w:r>
      <w:r>
        <w:rPr>
          <w:rFonts w:cs="Times New Roman"/>
          <w:lang w:val="en-US"/>
        </w:rPr>
        <w:t xml:space="preserve">. </w:t>
      </w:r>
    </w:p>
    <w:p w:rsidR="006A73E6" w:rsidRPr="002D7E7E" w:rsidRDefault="00E758CE">
      <w:pPr>
        <w:pStyle w:val="Standard"/>
        <w:spacing w:line="360" w:lineRule="auto"/>
        <w:rPr>
          <w:lang w:val="en-US"/>
        </w:rPr>
      </w:pPr>
      <w:r>
        <w:rPr>
          <w:rFonts w:cs="Times New Roman"/>
          <w:lang w:val="en-US"/>
        </w:rPr>
        <w:t xml:space="preserve">     In ‘On Actions and Products’, Twardowski distinguishes between an action such as an act of claiming, an act of thinking or an act of judging and its product, namely a claim, a thought, or a judgment. Crucially, products need not be physically realized, in which case, they last only as long as the action that ‘sustains’ it. The distinction between actions and products for Twardowski was both a distinction reflected in natural languages (in particular in two types of nominalizations in German, Polish, and French) and a distinction playing a fundamental role in many areas </w:t>
      </w:r>
      <w:r w:rsidR="00DD4898">
        <w:rPr>
          <w:rFonts w:cs="Times New Roman"/>
          <w:lang w:val="en-US"/>
        </w:rPr>
        <w:t>of philosophy. Most importantly p</w:t>
      </w:r>
      <w:r>
        <w:rPr>
          <w:rFonts w:cs="Times New Roman"/>
          <w:lang w:val="en-US"/>
        </w:rPr>
        <w:t xml:space="preserve">roducts but not actions may carry truth </w:t>
      </w:r>
      <w:r>
        <w:rPr>
          <w:rFonts w:cs="Times New Roman"/>
          <w:lang w:val="en-US"/>
        </w:rPr>
        <w:lastRenderedPageBreak/>
        <w:t>conditions or satisfaction conditions and relevant normative properties</w:t>
      </w:r>
      <w:r w:rsidR="00DD4898">
        <w:rPr>
          <w:rFonts w:cs="Times New Roman"/>
          <w:lang w:val="en-US"/>
        </w:rPr>
        <w:t xml:space="preserve"> and en</w:t>
      </w:r>
      <w:r w:rsidR="00D520DB">
        <w:rPr>
          <w:rFonts w:cs="Times New Roman"/>
          <w:lang w:val="en-US"/>
        </w:rPr>
        <w:t>ter similarity relations based o</w:t>
      </w:r>
      <w:r w:rsidR="00DD4898">
        <w:rPr>
          <w:rFonts w:cs="Times New Roman"/>
          <w:lang w:val="en-US"/>
        </w:rPr>
        <w:t>n being the same in content</w:t>
      </w:r>
      <w:r>
        <w:rPr>
          <w:rFonts w:cs="Times New Roman"/>
          <w:lang w:val="en-US"/>
        </w:rPr>
        <w:t xml:space="preserve">. </w:t>
      </w:r>
      <w:r w:rsidR="00DD4898">
        <w:rPr>
          <w:rFonts w:cs="Times New Roman"/>
          <w:lang w:val="en-US"/>
        </w:rPr>
        <w:t xml:space="preserve">Products </w:t>
      </w:r>
      <w:r w:rsidR="00E33632">
        <w:rPr>
          <w:rFonts w:cs="Times New Roman"/>
          <w:lang w:val="en-US"/>
        </w:rPr>
        <w:t xml:space="preserve">also </w:t>
      </w:r>
      <w:r w:rsidR="00DD4898">
        <w:rPr>
          <w:rFonts w:cs="Times New Roman"/>
          <w:lang w:val="en-US"/>
        </w:rPr>
        <w:t>play</w:t>
      </w:r>
      <w:r>
        <w:rPr>
          <w:rFonts w:cs="Times New Roman"/>
          <w:lang w:val="en-US"/>
        </w:rPr>
        <w:t xml:space="preserve"> the role of propositions, though </w:t>
      </w:r>
      <w:r w:rsidR="00E33632">
        <w:rPr>
          <w:rFonts w:cs="Times New Roman"/>
          <w:lang w:val="en-US"/>
        </w:rPr>
        <w:t>as</w:t>
      </w:r>
      <w:r>
        <w:rPr>
          <w:rFonts w:cs="Times New Roman"/>
          <w:lang w:val="en-US"/>
        </w:rPr>
        <w:t xml:space="preserve"> ‘products’ of attitudes, not their contents of objects.  Laws, rules, and norms are products exhibiting the same characteristic properties as ‘claims’ or ‘judgments’. The distinction between actions and products also includes the distinction between acts of artistic creation and their products, the works of art, </w:t>
      </w:r>
      <w:r w:rsidR="00DD4898">
        <w:rPr>
          <w:rFonts w:cs="Times New Roman"/>
          <w:lang w:val="en-US"/>
        </w:rPr>
        <w:t>and</w:t>
      </w:r>
      <w:r w:rsidR="00E33632">
        <w:rPr>
          <w:rFonts w:cs="Times New Roman"/>
          <w:lang w:val="en-US"/>
        </w:rPr>
        <w:t>,</w:t>
      </w:r>
      <w:r w:rsidR="00DD4898">
        <w:rPr>
          <w:rFonts w:cs="Times New Roman"/>
          <w:lang w:val="en-US"/>
        </w:rPr>
        <w:t xml:space="preserve"> as one may add</w:t>
      </w:r>
      <w:r w:rsidR="00E33632">
        <w:rPr>
          <w:rFonts w:cs="Times New Roman"/>
          <w:lang w:val="en-US"/>
        </w:rPr>
        <w:t>,</w:t>
      </w:r>
      <w:r w:rsidR="00DD4898">
        <w:rPr>
          <w:rFonts w:cs="Times New Roman"/>
          <w:lang w:val="en-US"/>
        </w:rPr>
        <w:t xml:space="preserve"> the distinction between creating an electronic file and the file itself</w:t>
      </w:r>
      <w:r w:rsidR="009066CF">
        <w:rPr>
          <w:rFonts w:cs="Times New Roman"/>
          <w:lang w:val="en-US"/>
        </w:rPr>
        <w:t xml:space="preserve"> (Miskiewics 2014)</w:t>
      </w:r>
      <w:r>
        <w:rPr>
          <w:rFonts w:cs="Times New Roman"/>
          <w:lang w:val="en-US"/>
        </w:rPr>
        <w:t>.</w:t>
      </w:r>
    </w:p>
    <w:p w:rsidR="00E33632" w:rsidRDefault="00E758CE">
      <w:pPr>
        <w:pStyle w:val="Standard"/>
        <w:spacing w:line="360" w:lineRule="auto"/>
        <w:rPr>
          <w:rFonts w:cs="Times New Roman"/>
          <w:lang w:val="en-US"/>
        </w:rPr>
      </w:pPr>
      <w:r>
        <w:rPr>
          <w:rFonts w:cs="Times New Roman"/>
          <w:lang w:val="en-US"/>
        </w:rPr>
        <w:t xml:space="preserve">      Twardowski’s article and the distinction between actions and products ha</w:t>
      </w:r>
      <w:r w:rsidR="00D520DB">
        <w:rPr>
          <w:rFonts w:cs="Times New Roman"/>
          <w:lang w:val="en-US"/>
        </w:rPr>
        <w:t xml:space="preserve">d </w:t>
      </w:r>
      <w:r>
        <w:rPr>
          <w:rFonts w:cs="Times New Roman"/>
          <w:lang w:val="en-US"/>
        </w:rPr>
        <w:t xml:space="preserve">great importance in in early analytic Polish philosophy. </w:t>
      </w:r>
      <w:r w:rsidRPr="002D7E7E">
        <w:rPr>
          <w:lang w:val="en-US"/>
        </w:rPr>
        <w:t>It</w:t>
      </w:r>
      <w:r>
        <w:rPr>
          <w:rFonts w:cs="Times New Roman"/>
          <w:lang w:val="en-US"/>
        </w:rPr>
        <w:t xml:space="preserve"> is central also for example in Ingarden’s </w:t>
      </w:r>
      <w:r w:rsidR="009066CF">
        <w:rPr>
          <w:rFonts w:cs="Times New Roman"/>
          <w:lang w:val="en-US"/>
        </w:rPr>
        <w:t xml:space="preserve"> (1931) </w:t>
      </w:r>
      <w:r>
        <w:rPr>
          <w:rFonts w:cs="Times New Roman"/>
          <w:lang w:val="en-US"/>
        </w:rPr>
        <w:t>work on aesthetics. However, it is hardly known in contemporary analytic philosophy as is the case for related work within the Lvov-Warsaw school.</w:t>
      </w:r>
      <w:r w:rsidR="00E33632" w:rsidRPr="00E33632">
        <w:rPr>
          <w:rFonts w:cs="Times New Roman"/>
          <w:lang w:val="en-US"/>
        </w:rPr>
        <w:t xml:space="preserve"> </w:t>
      </w:r>
    </w:p>
    <w:p w:rsidR="006A73E6" w:rsidRPr="002D7E7E" w:rsidRDefault="00E33632">
      <w:pPr>
        <w:pStyle w:val="Standard"/>
        <w:spacing w:line="360" w:lineRule="auto"/>
        <w:rPr>
          <w:lang w:val="en-US"/>
        </w:rPr>
      </w:pPr>
      <w:r>
        <w:rPr>
          <w:rFonts w:cs="Times New Roman"/>
          <w:lang w:val="en-US"/>
        </w:rPr>
        <w:t xml:space="preserve">    Twardowski’s article is also an inspiration for more linguistic work regarding action and product nominalizations. While the distinction between actions and products is very intuitive in the case of laws and works of art, it appears more elusive in the case of the distinction between a state of believing and a belief and an act of claiming and a claim (both speech acts, one would think). However, a more careful analysis of the semantic behavior of the two sorts of nominalizations show</w:t>
      </w:r>
      <w:r w:rsidR="00D520DB">
        <w:rPr>
          <w:rFonts w:cs="Times New Roman"/>
          <w:lang w:val="en-US"/>
        </w:rPr>
        <w:t>s</w:t>
      </w:r>
      <w:r>
        <w:rPr>
          <w:rFonts w:cs="Times New Roman"/>
          <w:lang w:val="en-US"/>
        </w:rPr>
        <w:t xml:space="preserve"> that the distinction is on a par with the distinction between an act of artistic creation and the work of art and an act of establishing a rule and the rule itself.</w:t>
      </w:r>
    </w:p>
    <w:p w:rsidR="006A73E6" w:rsidRPr="009066CF" w:rsidRDefault="00E758CE">
      <w:pPr>
        <w:pStyle w:val="Standard"/>
        <w:spacing w:line="360" w:lineRule="auto"/>
        <w:rPr>
          <w:lang w:val="en-US"/>
        </w:rPr>
      </w:pPr>
      <w:r>
        <w:rPr>
          <w:rFonts w:cs="Times New Roman"/>
          <w:lang w:val="en-US"/>
        </w:rPr>
        <w:t xml:space="preserve">      One contribution of the project will be to make the most important work of the Lvov-Warsaw school accessible to contemporary analytic philosophers and to show its importance for the contemporary debates abo</w:t>
      </w:r>
      <w:r w:rsidR="00D520DB">
        <w:rPr>
          <w:rFonts w:cs="Times New Roman"/>
          <w:lang w:val="en-US"/>
        </w:rPr>
        <w:t>ut artifacts and propositions</w:t>
      </w:r>
      <w:r>
        <w:rPr>
          <w:rFonts w:cs="Times New Roman"/>
          <w:lang w:val="en-US"/>
        </w:rPr>
        <w:t xml:space="preserve">. Another contribution will be to show the importance of applying more linguistic methods for addressing questions of the ontology of cognitive products and cultural objects.  The overall impact of the project should be new directions in </w:t>
      </w:r>
      <w:r w:rsidR="009066CF">
        <w:rPr>
          <w:rFonts w:cs="Times New Roman"/>
          <w:lang w:val="en-US"/>
        </w:rPr>
        <w:t xml:space="preserve">research on the </w:t>
      </w:r>
      <w:r>
        <w:rPr>
          <w:rFonts w:cs="Times New Roman"/>
          <w:lang w:val="en-US"/>
        </w:rPr>
        <w:t xml:space="preserve">ontology on cultural objects in view of neglected historical work and </w:t>
      </w:r>
      <w:r w:rsidR="00592E98">
        <w:rPr>
          <w:rFonts w:cs="Times New Roman"/>
          <w:lang w:val="en-US"/>
        </w:rPr>
        <w:t>the interest in</w:t>
      </w:r>
      <w:r w:rsidR="009066CF">
        <w:rPr>
          <w:rFonts w:cs="Times New Roman"/>
          <w:lang w:val="en-US"/>
        </w:rPr>
        <w:t xml:space="preserve"> a more linguistic methodology</w:t>
      </w:r>
      <w:r w:rsidR="00592E98">
        <w:rPr>
          <w:rFonts w:cs="Times New Roman"/>
          <w:lang w:val="en-US"/>
        </w:rPr>
        <w:t xml:space="preserve"> as well further developments of</w:t>
      </w:r>
      <w:r>
        <w:rPr>
          <w:rFonts w:cs="Times New Roman"/>
          <w:lang w:val="en-US"/>
        </w:rPr>
        <w:t xml:space="preserve"> original perspectives </w:t>
      </w:r>
      <w:r w:rsidR="00592E98">
        <w:rPr>
          <w:rFonts w:cs="Times New Roman"/>
          <w:lang w:val="en-US"/>
        </w:rPr>
        <w:t xml:space="preserve">that the historical work has already inspired </w:t>
      </w:r>
      <w:r>
        <w:rPr>
          <w:rFonts w:cs="Times New Roman"/>
          <w:lang w:val="en-US"/>
        </w:rPr>
        <w:t xml:space="preserve">(such as Moltmann’s </w:t>
      </w:r>
      <w:r w:rsidR="00D520DB">
        <w:rPr>
          <w:rFonts w:cs="Times New Roman"/>
          <w:lang w:val="en-US"/>
        </w:rPr>
        <w:t>(2003;</w:t>
      </w:r>
      <w:r w:rsidR="00E33632">
        <w:rPr>
          <w:rFonts w:cs="Times New Roman"/>
          <w:lang w:val="en-US"/>
        </w:rPr>
        <w:t xml:space="preserve"> 2013</w:t>
      </w:r>
      <w:r w:rsidR="00D520DB">
        <w:rPr>
          <w:rFonts w:cs="Times New Roman"/>
          <w:lang w:val="en-US"/>
        </w:rPr>
        <w:t>, Chap 4</w:t>
      </w:r>
      <w:r w:rsidR="00E33632">
        <w:rPr>
          <w:rFonts w:cs="Times New Roman"/>
          <w:lang w:val="en-US"/>
        </w:rPr>
        <w:t xml:space="preserve">) </w:t>
      </w:r>
      <w:r w:rsidR="009066CF">
        <w:rPr>
          <w:rFonts w:cs="Times New Roman"/>
          <w:lang w:val="en-US"/>
        </w:rPr>
        <w:t>work on attitude reports).</w:t>
      </w:r>
    </w:p>
    <w:p w:rsidR="006A73E6" w:rsidRPr="00E33632" w:rsidRDefault="006A73E6">
      <w:pPr>
        <w:pStyle w:val="Standard"/>
        <w:spacing w:line="360" w:lineRule="auto"/>
        <w:rPr>
          <w:rFonts w:cs="Times New Roman"/>
          <w:lang w:val="en-US"/>
        </w:rPr>
      </w:pPr>
    </w:p>
    <w:p w:rsidR="006A73E6" w:rsidRPr="003124DD" w:rsidRDefault="00C142C8" w:rsidP="003124DD">
      <w:pPr>
        <w:pStyle w:val="Standard"/>
        <w:spacing w:line="360" w:lineRule="auto"/>
        <w:rPr>
          <w:b/>
          <w:lang w:val="en-US"/>
        </w:rPr>
      </w:pPr>
      <w:r>
        <w:rPr>
          <w:rFonts w:cs="Times New Roman"/>
          <w:b/>
          <w:lang w:val="en-US"/>
        </w:rPr>
        <w:t>References</w:t>
      </w:r>
    </w:p>
    <w:p w:rsidR="006A73E6" w:rsidRPr="002D7E7E" w:rsidRDefault="00E758CE" w:rsidP="003124DD">
      <w:pPr>
        <w:pStyle w:val="Standard"/>
        <w:spacing w:line="360" w:lineRule="auto"/>
        <w:rPr>
          <w:lang w:val="en-US"/>
        </w:rPr>
      </w:pPr>
      <w:r>
        <w:rPr>
          <w:rFonts w:eastAsia="Times New Roman" w:cs="Times New Roman"/>
          <w:lang w:val="en-US" w:eastAsia="fr-FR"/>
        </w:rPr>
        <w:t>Ingarden, R. (193</w:t>
      </w:r>
      <w:r w:rsidR="002520A8">
        <w:rPr>
          <w:rFonts w:eastAsia="Times New Roman" w:cs="Times New Roman"/>
          <w:lang w:val="en-US" w:eastAsia="fr-FR"/>
        </w:rPr>
        <w:t xml:space="preserve">1): </w:t>
      </w:r>
      <w:r w:rsidR="002520A8" w:rsidRPr="002520A8">
        <w:rPr>
          <w:rFonts w:eastAsia="Times New Roman" w:cs="Times New Roman"/>
          <w:i/>
          <w:lang w:val="en-US" w:eastAsia="fr-FR"/>
        </w:rPr>
        <w:t>Das Literarische Kunstwerk</w:t>
      </w:r>
      <w:r>
        <w:rPr>
          <w:rFonts w:eastAsia="Times New Roman" w:cs="Times New Roman"/>
          <w:lang w:val="en-US" w:eastAsia="fr-FR"/>
        </w:rPr>
        <w:t>. Niemeyer, Halle.</w:t>
      </w:r>
    </w:p>
    <w:p w:rsidR="003124DD" w:rsidRDefault="00E758CE" w:rsidP="003124DD">
      <w:pPr>
        <w:pStyle w:val="Standard"/>
        <w:spacing w:line="360" w:lineRule="auto"/>
        <w:rPr>
          <w:rFonts w:cs="Times New Roman"/>
          <w:lang w:val="en-US"/>
        </w:rPr>
      </w:pPr>
      <w:r w:rsidRPr="002D7E7E">
        <w:rPr>
          <w:rFonts w:cs="Times New Roman"/>
          <w:lang w:val="en-US"/>
        </w:rPr>
        <w:t xml:space="preserve">Miskiewicz &amp; J. Wolenski (eds), </w:t>
      </w:r>
      <w:r w:rsidRPr="002D7E7E">
        <w:rPr>
          <w:rFonts w:cs="Times New Roman"/>
          <w:i/>
          <w:lang w:val="en-US"/>
        </w:rPr>
        <w:t xml:space="preserve">The Golden Age of Polish Philosophy, </w:t>
      </w:r>
      <w:r w:rsidRPr="002D7E7E">
        <w:rPr>
          <w:rFonts w:cs="Times New Roman"/>
          <w:lang w:val="en-US"/>
        </w:rPr>
        <w:t xml:space="preserve">Springer Verlag, </w:t>
      </w:r>
    </w:p>
    <w:p w:rsidR="00440870" w:rsidRDefault="003124DD" w:rsidP="003124DD">
      <w:pPr>
        <w:pStyle w:val="Standard"/>
        <w:spacing w:line="360" w:lineRule="auto"/>
        <w:rPr>
          <w:rFonts w:cs="Times New Roman"/>
          <w:lang w:val="en-US"/>
        </w:rPr>
      </w:pPr>
      <w:r>
        <w:rPr>
          <w:rFonts w:cs="Times New Roman"/>
          <w:lang w:val="en-US"/>
        </w:rPr>
        <w:t xml:space="preserve">     </w:t>
      </w:r>
      <w:r w:rsidR="00E758CE" w:rsidRPr="002D7E7E">
        <w:rPr>
          <w:rFonts w:cs="Times New Roman"/>
          <w:lang w:val="en-US"/>
        </w:rPr>
        <w:t>Logic, Epistemology and the unity of Science Series, 2009, p.181-191. </w:t>
      </w:r>
    </w:p>
    <w:p w:rsidR="003124DD" w:rsidRPr="00440870" w:rsidRDefault="00E758CE" w:rsidP="003124DD">
      <w:pPr>
        <w:pStyle w:val="Standard"/>
        <w:spacing w:line="360" w:lineRule="auto"/>
        <w:rPr>
          <w:rFonts w:cs="Times New Roman"/>
          <w:lang w:val="en-US"/>
        </w:rPr>
      </w:pPr>
      <w:r>
        <w:rPr>
          <w:rFonts w:eastAsia="TimesNewRomanPSMT" w:cs="TimesNewRomanPSMT"/>
          <w:color w:val="000000"/>
          <w:lang w:val="en-US"/>
        </w:rPr>
        <w:t>-----------</w:t>
      </w:r>
      <w:r w:rsidR="003124DD">
        <w:rPr>
          <w:rFonts w:eastAsia="TimesNewRomanPSMT" w:cs="TimesNewRomanPSMT"/>
          <w:color w:val="000000"/>
          <w:lang w:val="en-US"/>
        </w:rPr>
        <w:t>--------- (2014) "TEI File as an Interface of Communication; P</w:t>
      </w:r>
      <w:r>
        <w:rPr>
          <w:rFonts w:eastAsia="TimesNewRomanPSMT" w:cs="TimesNewRomanPSMT"/>
          <w:color w:val="000000"/>
          <w:lang w:val="en-US"/>
        </w:rPr>
        <w:t xml:space="preserve">latonism in DH and </w:t>
      </w:r>
    </w:p>
    <w:p w:rsidR="006A73E6" w:rsidRPr="003124DD" w:rsidRDefault="003124DD" w:rsidP="003124DD">
      <w:pPr>
        <w:pStyle w:val="Standard"/>
        <w:spacing w:line="360" w:lineRule="auto"/>
        <w:rPr>
          <w:rFonts w:eastAsia="TimesNewRomanPSMT" w:cs="TimesNewRomanPSMT"/>
          <w:color w:val="000000"/>
          <w:lang w:val="en-US"/>
        </w:rPr>
      </w:pPr>
      <w:r>
        <w:rPr>
          <w:rFonts w:eastAsia="TimesNewRomanPSMT" w:cs="TimesNewRomanPSMT"/>
          <w:color w:val="000000"/>
          <w:lang w:val="en-US"/>
        </w:rPr>
        <w:t xml:space="preserve">     </w:t>
      </w:r>
      <w:r w:rsidR="00E758CE">
        <w:rPr>
          <w:rFonts w:eastAsia="TimesNewRomanPSMT" w:cs="TimesNewRomanPSMT"/>
          <w:color w:val="000000"/>
          <w:lang w:val="en-US"/>
        </w:rPr>
        <w:t xml:space="preserve">the </w:t>
      </w:r>
      <w:r>
        <w:rPr>
          <w:rFonts w:eastAsia="TimesNewRomanPSMT" w:cs="TimesNewRomanPSMT"/>
          <w:color w:val="000000"/>
          <w:lang w:val="en-US"/>
        </w:rPr>
        <w:t>Maieutics of the T</w:t>
      </w:r>
      <w:r w:rsidR="00E758CE">
        <w:rPr>
          <w:rFonts w:eastAsia="TimesNewRomanPSMT" w:cs="TimesNewRomanPSMT"/>
          <w:color w:val="000000"/>
          <w:lang w:val="en-US"/>
        </w:rPr>
        <w:t>exts",</w:t>
      </w:r>
      <w:r w:rsidR="00E758CE" w:rsidRPr="002D7E7E">
        <w:rPr>
          <w:rFonts w:eastAsia="Helvetica" w:cs="Helvetica"/>
          <w:lang w:val="en-US"/>
        </w:rPr>
        <w:t xml:space="preserve"> </w:t>
      </w:r>
      <w:r w:rsidR="00E758CE" w:rsidRPr="003124DD">
        <w:rPr>
          <w:rFonts w:eastAsia="Helvetica" w:cs="Helvetica"/>
          <w:i/>
          <w:lang w:val="en-US"/>
        </w:rPr>
        <w:t>Journal of the Te</w:t>
      </w:r>
      <w:r w:rsidRPr="003124DD">
        <w:rPr>
          <w:rFonts w:eastAsia="Helvetica" w:cs="Helvetica"/>
          <w:i/>
          <w:lang w:val="en-US"/>
        </w:rPr>
        <w:t>xt Encoding Initiative</w:t>
      </w:r>
      <w:r>
        <w:rPr>
          <w:rFonts w:eastAsia="Helvetica" w:cs="Helvetica"/>
          <w:lang w:val="en-US"/>
        </w:rPr>
        <w:t>, Issue 8.</w:t>
      </w:r>
    </w:p>
    <w:p w:rsidR="00440870" w:rsidRPr="002D7E7E" w:rsidRDefault="00E758CE" w:rsidP="00440870">
      <w:pPr>
        <w:pStyle w:val="Standard"/>
        <w:spacing w:line="360" w:lineRule="auto"/>
        <w:rPr>
          <w:lang w:val="en-US"/>
        </w:rPr>
      </w:pPr>
      <w:r>
        <w:rPr>
          <w:rFonts w:eastAsia="Times New Roman" w:cs="Times New Roman"/>
          <w:bCs/>
          <w:lang w:val="en-US" w:eastAsia="ar-SA"/>
        </w:rPr>
        <w:lastRenderedPageBreak/>
        <w:t xml:space="preserve">Moltmann, F. </w:t>
      </w:r>
      <w:r w:rsidR="00892DE1">
        <w:rPr>
          <w:rFonts w:eastAsia="Times New Roman" w:cs="Times New Roman"/>
          <w:bCs/>
          <w:lang w:val="en-US" w:eastAsia="ar-SA"/>
        </w:rPr>
        <w:t xml:space="preserve"> </w:t>
      </w:r>
      <w:r w:rsidR="00440870">
        <w:rPr>
          <w:rFonts w:cs="Times New Roman"/>
          <w:lang w:val="en-US"/>
        </w:rPr>
        <w:t xml:space="preserve">(2003): 'Propositional Attitudes without Propositions'. </w:t>
      </w:r>
      <w:r w:rsidR="00440870">
        <w:rPr>
          <w:rFonts w:cs="Times New Roman"/>
          <w:i/>
          <w:lang w:val="en-US"/>
        </w:rPr>
        <w:t>Synthese</w:t>
      </w:r>
      <w:r w:rsidR="00440870">
        <w:rPr>
          <w:rFonts w:cs="Times New Roman"/>
          <w:lang w:val="en-US"/>
        </w:rPr>
        <w:t xml:space="preserve"> 135, 2003,</w:t>
      </w:r>
    </w:p>
    <w:p w:rsidR="00440870" w:rsidRPr="002D7E7E" w:rsidRDefault="00440870" w:rsidP="00440870">
      <w:pPr>
        <w:pStyle w:val="Standard"/>
        <w:spacing w:line="360" w:lineRule="auto"/>
        <w:rPr>
          <w:lang w:val="en-US"/>
        </w:rPr>
      </w:pPr>
      <w:r>
        <w:rPr>
          <w:rFonts w:cs="Times New Roman"/>
          <w:lang w:val="en-US"/>
        </w:rPr>
        <w:t xml:space="preserve">     pp. 70-118.</w:t>
      </w:r>
    </w:p>
    <w:p w:rsidR="006A73E6" w:rsidRPr="002D7E7E" w:rsidRDefault="00440870" w:rsidP="00440870">
      <w:pPr>
        <w:pStyle w:val="Standard"/>
        <w:spacing w:line="360" w:lineRule="auto"/>
        <w:jc w:val="both"/>
        <w:rPr>
          <w:lang w:val="en-US"/>
        </w:rPr>
      </w:pPr>
      <w:r>
        <w:rPr>
          <w:rFonts w:eastAsia="Times New Roman" w:cs="Times New Roman"/>
          <w:bCs/>
          <w:lang w:val="en-US" w:eastAsia="ar-SA"/>
        </w:rPr>
        <w:t xml:space="preserve"> ----------------</w:t>
      </w:r>
      <w:bookmarkStart w:id="0" w:name="_GoBack"/>
      <w:bookmarkEnd w:id="0"/>
      <w:r>
        <w:rPr>
          <w:rFonts w:eastAsia="Times New Roman" w:cs="Times New Roman"/>
          <w:bCs/>
          <w:lang w:val="en-US" w:eastAsia="ar-SA"/>
        </w:rPr>
        <w:t xml:space="preserve"> </w:t>
      </w:r>
      <w:r w:rsidR="00E758CE">
        <w:rPr>
          <w:rFonts w:eastAsia="Times New Roman" w:cs="Times New Roman"/>
          <w:bCs/>
          <w:lang w:val="en-US" w:eastAsia="ar-SA"/>
        </w:rPr>
        <w:t xml:space="preserve">(2013): </w:t>
      </w:r>
      <w:r w:rsidR="00E758CE">
        <w:rPr>
          <w:rFonts w:eastAsia="Times New Roman" w:cs="Times New Roman"/>
          <w:bCs/>
          <w:i/>
          <w:lang w:val="en-US" w:eastAsia="ar-SA"/>
        </w:rPr>
        <w:t>Abstract Objects and the Semantics of Natural Language</w:t>
      </w:r>
      <w:r w:rsidR="00E758CE">
        <w:rPr>
          <w:rFonts w:eastAsia="Times New Roman" w:cs="Times New Roman"/>
          <w:bCs/>
          <w:lang w:val="en-US" w:eastAsia="ar-SA"/>
        </w:rPr>
        <w:t>. Oxford UP,</w:t>
      </w:r>
    </w:p>
    <w:p w:rsidR="006A73E6" w:rsidRPr="002D7E7E" w:rsidRDefault="00E758CE" w:rsidP="003124DD">
      <w:pPr>
        <w:pStyle w:val="Standard"/>
        <w:spacing w:line="360" w:lineRule="auto"/>
        <w:jc w:val="both"/>
        <w:rPr>
          <w:lang w:val="en-US"/>
        </w:rPr>
      </w:pPr>
      <w:r>
        <w:rPr>
          <w:rFonts w:eastAsia="Times New Roman" w:cs="Times New Roman"/>
          <w:bCs/>
          <w:lang w:val="en-US" w:eastAsia="ar-SA"/>
        </w:rPr>
        <w:t xml:space="preserve">     Oxford. </w:t>
      </w:r>
    </w:p>
    <w:p w:rsidR="006A73E6" w:rsidRPr="00015A7C" w:rsidRDefault="00E758CE" w:rsidP="003124DD">
      <w:pPr>
        <w:pStyle w:val="Standard"/>
        <w:spacing w:line="360" w:lineRule="auto"/>
        <w:rPr>
          <w:lang w:val="en-US"/>
        </w:rPr>
      </w:pPr>
      <w:r>
        <w:rPr>
          <w:rFonts w:cs="Times New Roman"/>
          <w:lang w:val="en-US"/>
        </w:rPr>
        <w:t xml:space="preserve">Moltmann, F. / M. Textor (eds.) (forthcoming): </w:t>
      </w:r>
      <w:r>
        <w:rPr>
          <w:rFonts w:cs="Times New Roman"/>
          <w:i/>
          <w:lang w:val="en-US"/>
        </w:rPr>
        <w:t>Act-Based Conceptions of Propositional</w:t>
      </w:r>
    </w:p>
    <w:p w:rsidR="006A73E6" w:rsidRPr="002D7E7E" w:rsidRDefault="00E758CE" w:rsidP="003124DD">
      <w:pPr>
        <w:pStyle w:val="Standard"/>
        <w:spacing w:line="360" w:lineRule="auto"/>
        <w:rPr>
          <w:lang w:val="en-US"/>
        </w:rPr>
      </w:pPr>
      <w:r>
        <w:rPr>
          <w:rFonts w:cs="Times New Roman"/>
          <w:i/>
          <w:lang w:val="en-US"/>
        </w:rPr>
        <w:t xml:space="preserve">     Content. Contemporary and Historical Perspectives</w:t>
      </w:r>
      <w:r>
        <w:rPr>
          <w:rFonts w:cs="Times New Roman"/>
          <w:lang w:val="en-US"/>
        </w:rPr>
        <w:t>. Oxford University Press, Oxford.</w:t>
      </w:r>
    </w:p>
    <w:p w:rsidR="003124DD" w:rsidRDefault="00E758CE" w:rsidP="003124DD">
      <w:pPr>
        <w:pStyle w:val="Standard"/>
        <w:spacing w:line="360" w:lineRule="auto"/>
        <w:rPr>
          <w:rFonts w:cs="Times New Roman"/>
          <w:lang w:val="en-US"/>
        </w:rPr>
      </w:pPr>
      <w:r>
        <w:rPr>
          <w:rFonts w:cs="Times New Roman"/>
          <w:lang w:val="en-US"/>
        </w:rPr>
        <w:t>Searle</w:t>
      </w:r>
      <w:r w:rsidR="003124DD">
        <w:rPr>
          <w:rFonts w:cs="Times New Roman"/>
          <w:lang w:val="en-US"/>
        </w:rPr>
        <w:t>, J. R.</w:t>
      </w:r>
      <w:r>
        <w:rPr>
          <w:rFonts w:cs="Times New Roman"/>
          <w:lang w:val="en-US"/>
        </w:rPr>
        <w:t xml:space="preserve"> (1969)</w:t>
      </w:r>
      <w:r w:rsidR="003124DD">
        <w:rPr>
          <w:rFonts w:cs="Times New Roman"/>
          <w:lang w:val="en-US"/>
        </w:rPr>
        <w:t xml:space="preserve">: </w:t>
      </w:r>
      <w:r w:rsidR="003124DD" w:rsidRPr="003124DD">
        <w:rPr>
          <w:rFonts w:cs="Times New Roman"/>
          <w:i/>
          <w:lang w:val="en-US"/>
        </w:rPr>
        <w:t>Speech Acts: An Essay in th</w:t>
      </w:r>
      <w:r w:rsidRPr="003124DD">
        <w:rPr>
          <w:rFonts w:cs="Times New Roman"/>
          <w:i/>
          <w:lang w:val="en-US"/>
        </w:rPr>
        <w:t>e Philosophy of Language</w:t>
      </w:r>
      <w:r>
        <w:rPr>
          <w:rFonts w:cs="Times New Roman"/>
          <w:lang w:val="en-US"/>
        </w:rPr>
        <w:t xml:space="preserve">, Cambridge </w:t>
      </w:r>
    </w:p>
    <w:p w:rsidR="006A73E6" w:rsidRPr="002D7E7E" w:rsidRDefault="003124DD" w:rsidP="003124DD">
      <w:pPr>
        <w:pStyle w:val="Standard"/>
        <w:spacing w:line="360" w:lineRule="auto"/>
        <w:rPr>
          <w:lang w:val="en-US"/>
        </w:rPr>
      </w:pPr>
      <w:r>
        <w:rPr>
          <w:rFonts w:cs="Times New Roman"/>
          <w:lang w:val="en-US"/>
        </w:rPr>
        <w:t xml:space="preserve">      </w:t>
      </w:r>
      <w:r w:rsidR="00E758CE">
        <w:rPr>
          <w:rFonts w:cs="Times New Roman"/>
          <w:lang w:val="en-US"/>
        </w:rPr>
        <w:t>University Press, Cambridge.</w:t>
      </w:r>
    </w:p>
    <w:p w:rsidR="003124DD" w:rsidRDefault="00E758CE" w:rsidP="003124DD">
      <w:pPr>
        <w:pStyle w:val="Standard"/>
        <w:spacing w:line="360" w:lineRule="auto"/>
        <w:rPr>
          <w:rFonts w:cs="Times New Roman"/>
          <w:lang w:val="en-US"/>
        </w:rPr>
      </w:pPr>
      <w:r>
        <w:rPr>
          <w:rFonts w:cs="Times New Roman"/>
          <w:lang w:val="en-US"/>
        </w:rPr>
        <w:t>-------------- (1983)</w:t>
      </w:r>
      <w:r w:rsidR="003124DD">
        <w:rPr>
          <w:rFonts w:cs="Times New Roman"/>
          <w:lang w:val="en-US"/>
        </w:rPr>
        <w:t>:</w:t>
      </w:r>
      <w:r>
        <w:rPr>
          <w:rFonts w:cs="Times New Roman"/>
          <w:lang w:val="en-US"/>
        </w:rPr>
        <w:t xml:space="preserve"> </w:t>
      </w:r>
      <w:r w:rsidRPr="003124DD">
        <w:rPr>
          <w:rFonts w:cs="Times New Roman"/>
          <w:i/>
          <w:lang w:val="en-US"/>
        </w:rPr>
        <w:t>Intentionality: An Essay in the Philosophy of Mind</w:t>
      </w:r>
      <w:r>
        <w:rPr>
          <w:rFonts w:cs="Times New Roman"/>
          <w:lang w:val="en-US"/>
        </w:rPr>
        <w:t xml:space="preserve">, Cambridge </w:t>
      </w:r>
    </w:p>
    <w:p w:rsidR="006A73E6" w:rsidRPr="002D7E7E" w:rsidRDefault="003124DD" w:rsidP="003124DD">
      <w:pPr>
        <w:pStyle w:val="Standard"/>
        <w:spacing w:line="360" w:lineRule="auto"/>
        <w:rPr>
          <w:lang w:val="en-US"/>
        </w:rPr>
      </w:pPr>
      <w:r>
        <w:rPr>
          <w:rFonts w:cs="Times New Roman"/>
          <w:lang w:val="en-US"/>
        </w:rPr>
        <w:t xml:space="preserve">     </w:t>
      </w:r>
      <w:r w:rsidR="00E758CE">
        <w:rPr>
          <w:rFonts w:cs="Times New Roman"/>
          <w:lang w:val="en-US"/>
        </w:rPr>
        <w:t>University Press, Cambridge.</w:t>
      </w:r>
    </w:p>
    <w:p w:rsidR="006A73E6" w:rsidRPr="002D7E7E" w:rsidRDefault="00E758CE" w:rsidP="003124DD">
      <w:pPr>
        <w:pStyle w:val="Standard"/>
        <w:spacing w:line="360" w:lineRule="auto"/>
        <w:rPr>
          <w:lang w:val="en-US"/>
        </w:rPr>
      </w:pPr>
      <w:r>
        <w:rPr>
          <w:rFonts w:cs="Times New Roman"/>
          <w:lang w:val="en-US"/>
        </w:rPr>
        <w:t>-----------</w:t>
      </w:r>
      <w:r w:rsidR="00440870">
        <w:rPr>
          <w:rFonts w:cs="Times New Roman"/>
          <w:lang w:val="en-US"/>
        </w:rPr>
        <w:t>--</w:t>
      </w:r>
      <w:r>
        <w:rPr>
          <w:rFonts w:cs="Times New Roman"/>
          <w:lang w:val="en-US"/>
        </w:rPr>
        <w:t xml:space="preserve"> (2004)</w:t>
      </w:r>
      <w:r w:rsidR="003124DD">
        <w:rPr>
          <w:rFonts w:cs="Times New Roman"/>
          <w:lang w:val="en-US"/>
        </w:rPr>
        <w:t>:</w:t>
      </w:r>
      <w:r>
        <w:rPr>
          <w:rFonts w:cs="Times New Roman"/>
          <w:lang w:val="en-US"/>
        </w:rPr>
        <w:t xml:space="preserve"> </w:t>
      </w:r>
      <w:r w:rsidRPr="003124DD">
        <w:rPr>
          <w:rFonts w:cs="Times New Roman"/>
          <w:i/>
          <w:lang w:val="en-US"/>
        </w:rPr>
        <w:t>Mind: A Brief Introduction</w:t>
      </w:r>
      <w:r>
        <w:rPr>
          <w:rFonts w:cs="Times New Roman"/>
          <w:lang w:val="en-US"/>
        </w:rPr>
        <w:t>, Oxford University Press, Oxford</w:t>
      </w:r>
      <w:r w:rsidR="00440870">
        <w:rPr>
          <w:rFonts w:cs="Times New Roman"/>
          <w:lang w:val="en-US"/>
        </w:rPr>
        <w:t>.</w:t>
      </w:r>
    </w:p>
    <w:p w:rsidR="003124DD" w:rsidRDefault="00E758CE" w:rsidP="003124DD">
      <w:pPr>
        <w:pStyle w:val="Standard"/>
        <w:spacing w:line="360" w:lineRule="auto"/>
        <w:rPr>
          <w:rFonts w:cs="Times New Roman"/>
          <w:lang w:val="en-US"/>
        </w:rPr>
      </w:pPr>
      <w:r>
        <w:rPr>
          <w:rFonts w:cs="Times New Roman"/>
          <w:lang w:val="en-US"/>
        </w:rPr>
        <w:t>-----------</w:t>
      </w:r>
      <w:r w:rsidR="00440870">
        <w:rPr>
          <w:rFonts w:cs="Times New Roman"/>
          <w:lang w:val="en-US"/>
        </w:rPr>
        <w:t>--</w:t>
      </w:r>
      <w:r w:rsidR="003124DD">
        <w:rPr>
          <w:rFonts w:cs="Times New Roman"/>
          <w:lang w:val="en-US"/>
        </w:rPr>
        <w:t xml:space="preserve"> </w:t>
      </w:r>
      <w:r>
        <w:rPr>
          <w:rFonts w:cs="Times New Roman"/>
          <w:lang w:val="en-US"/>
        </w:rPr>
        <w:t>(2010)</w:t>
      </w:r>
      <w:r w:rsidR="003124DD">
        <w:rPr>
          <w:rFonts w:cs="Times New Roman"/>
          <w:lang w:val="en-US"/>
        </w:rPr>
        <w:t>:</w:t>
      </w:r>
      <w:r>
        <w:rPr>
          <w:rFonts w:cs="Times New Roman"/>
          <w:lang w:val="en-US"/>
        </w:rPr>
        <w:t xml:space="preserve"> </w:t>
      </w:r>
      <w:r w:rsidRPr="003124DD">
        <w:rPr>
          <w:rFonts w:cs="Times New Roman"/>
          <w:i/>
          <w:lang w:val="en-US"/>
        </w:rPr>
        <w:t>Making the Social World: the Structure of Human Civilization</w:t>
      </w:r>
      <w:r>
        <w:rPr>
          <w:rFonts w:cs="Times New Roman"/>
          <w:lang w:val="en-US"/>
        </w:rPr>
        <w:t xml:space="preserve">, Oxford </w:t>
      </w:r>
    </w:p>
    <w:p w:rsidR="006A73E6" w:rsidRPr="002D7E7E" w:rsidRDefault="003124DD" w:rsidP="003124DD">
      <w:pPr>
        <w:pStyle w:val="Standard"/>
        <w:spacing w:line="360" w:lineRule="auto"/>
        <w:rPr>
          <w:lang w:val="en-US"/>
        </w:rPr>
      </w:pPr>
      <w:r>
        <w:rPr>
          <w:rFonts w:cs="Times New Roman"/>
          <w:lang w:val="en-US"/>
        </w:rPr>
        <w:t xml:space="preserve">     </w:t>
      </w:r>
      <w:r w:rsidR="00E758CE">
        <w:rPr>
          <w:rFonts w:cs="Times New Roman"/>
          <w:lang w:val="en-US"/>
        </w:rPr>
        <w:t>University Press, Oxford.</w:t>
      </w:r>
    </w:p>
    <w:p w:rsidR="006A73E6" w:rsidRPr="002D7E7E" w:rsidRDefault="00E758CE" w:rsidP="003124DD">
      <w:pPr>
        <w:pStyle w:val="Standard"/>
        <w:spacing w:line="360" w:lineRule="auto"/>
        <w:rPr>
          <w:lang w:val="en-US"/>
        </w:rPr>
      </w:pPr>
      <w:r>
        <w:rPr>
          <w:rFonts w:eastAsia="Calibri" w:cs="Times New Roman"/>
          <w:lang w:val="en-US" w:eastAsia="ar-SA"/>
        </w:rPr>
        <w:t xml:space="preserve">Thomasson, A. (1999): </w:t>
      </w:r>
      <w:r>
        <w:rPr>
          <w:rFonts w:eastAsia="Calibri" w:cs="Times New Roman"/>
          <w:i/>
          <w:lang w:val="en-US" w:eastAsia="ar-SA"/>
        </w:rPr>
        <w:t>Fiction and Metaphysics.</w:t>
      </w:r>
      <w:r>
        <w:rPr>
          <w:rFonts w:eastAsia="Calibri" w:cs="Times New Roman"/>
          <w:lang w:val="en-US" w:eastAsia="ar-SA"/>
        </w:rPr>
        <w:t xml:space="preserve"> Cambridge UP, Cambridge.</w:t>
      </w:r>
    </w:p>
    <w:p w:rsidR="006A73E6" w:rsidRPr="002D7E7E" w:rsidRDefault="00E758CE" w:rsidP="003124DD">
      <w:pPr>
        <w:pStyle w:val="Standard"/>
        <w:spacing w:line="360" w:lineRule="auto"/>
        <w:rPr>
          <w:lang w:val="en-US"/>
        </w:rPr>
      </w:pPr>
      <w:r>
        <w:rPr>
          <w:rFonts w:eastAsia="Calibri" w:cs="Times New Roman"/>
          <w:lang w:val="en-US" w:eastAsia="ar-SA"/>
        </w:rPr>
        <w:t>Twardowski, K. (1912): ‘Actions and Products. Some Remarks on  the Borderline of</w:t>
      </w:r>
    </w:p>
    <w:p w:rsidR="006A73E6" w:rsidRPr="002D7E7E" w:rsidRDefault="00E758CE" w:rsidP="003124DD">
      <w:pPr>
        <w:pStyle w:val="Standard"/>
        <w:spacing w:line="360" w:lineRule="auto"/>
        <w:rPr>
          <w:lang w:val="en-US"/>
        </w:rPr>
      </w:pPr>
      <w:r>
        <w:rPr>
          <w:rFonts w:eastAsia="Calibri" w:cs="Times New Roman"/>
          <w:lang w:val="en-US" w:eastAsia="ar-SA"/>
        </w:rPr>
        <w:t xml:space="preserve">     Psychology, Grammar, and Logic’. In J. Brandl/J. Wolenski (eds.): </w:t>
      </w:r>
      <w:r>
        <w:rPr>
          <w:rFonts w:eastAsia="Calibri" w:cs="Times New Roman"/>
          <w:i/>
          <w:lang w:val="en-US" w:eastAsia="ar-SA"/>
        </w:rPr>
        <w:t>Kazimierz</w:t>
      </w:r>
    </w:p>
    <w:p w:rsidR="006A73E6" w:rsidRDefault="00E758CE" w:rsidP="003124DD">
      <w:pPr>
        <w:pStyle w:val="Standard"/>
        <w:spacing w:line="360" w:lineRule="auto"/>
      </w:pPr>
      <w:r>
        <w:rPr>
          <w:rFonts w:eastAsia="Calibri" w:cs="Times New Roman"/>
          <w:i/>
          <w:lang w:val="en-US" w:eastAsia="ar-SA"/>
        </w:rPr>
        <w:t xml:space="preserve">     Twardowski. On Actions, Products, and Other Topics in the Philosophy</w:t>
      </w:r>
      <w:r>
        <w:rPr>
          <w:rFonts w:eastAsia="Calibri" w:cs="Times New Roman"/>
          <w:lang w:val="en-US" w:eastAsia="ar-SA"/>
        </w:rPr>
        <w:t>. Rodopi,</w:t>
      </w:r>
    </w:p>
    <w:p w:rsidR="006A73E6" w:rsidRDefault="00E758CE" w:rsidP="003124DD">
      <w:pPr>
        <w:pStyle w:val="Standard"/>
        <w:spacing w:line="360" w:lineRule="auto"/>
      </w:pPr>
      <w:r>
        <w:rPr>
          <w:rFonts w:eastAsia="Calibri" w:cs="Times New Roman"/>
          <w:lang w:val="en-US" w:eastAsia="ar-SA"/>
        </w:rPr>
        <w:t xml:space="preserve">     Amsterdam and Atlanta, 1999, 103-132.</w:t>
      </w:r>
    </w:p>
    <w:p w:rsidR="006A73E6" w:rsidRDefault="00E758CE" w:rsidP="003124DD">
      <w:pPr>
        <w:pStyle w:val="Standard"/>
        <w:spacing w:line="360" w:lineRule="auto"/>
        <w:rPr>
          <w:rFonts w:cs="Times New Roman"/>
          <w:lang w:val="en-US"/>
        </w:rPr>
      </w:pPr>
      <w:r>
        <w:rPr>
          <w:rFonts w:cs="Times New Roman"/>
          <w:lang w:val="en-US"/>
        </w:rPr>
        <w:t xml:space="preserve"> </w:t>
      </w:r>
    </w:p>
    <w:p w:rsidR="006A73E6" w:rsidRDefault="006A73E6" w:rsidP="003124DD">
      <w:pPr>
        <w:pStyle w:val="Standard"/>
        <w:spacing w:line="360" w:lineRule="auto"/>
        <w:rPr>
          <w:rFonts w:cs="Times New Roman"/>
          <w:lang w:val="en-US"/>
        </w:rPr>
      </w:pPr>
    </w:p>
    <w:p w:rsidR="006A73E6" w:rsidRDefault="006A73E6" w:rsidP="003124DD">
      <w:pPr>
        <w:pStyle w:val="Standard"/>
        <w:spacing w:line="360" w:lineRule="auto"/>
        <w:rPr>
          <w:rFonts w:cs="Times New Roman"/>
          <w:lang w:val="en-US"/>
        </w:rPr>
      </w:pPr>
    </w:p>
    <w:p w:rsidR="006A73E6" w:rsidRDefault="006A73E6">
      <w:pPr>
        <w:pStyle w:val="Standard"/>
        <w:spacing w:line="360" w:lineRule="auto"/>
        <w:rPr>
          <w:rFonts w:cs="Times New Roman"/>
          <w:lang w:val="en-US"/>
        </w:rPr>
      </w:pPr>
    </w:p>
    <w:p w:rsidR="006A73E6" w:rsidRDefault="006A73E6">
      <w:pPr>
        <w:pStyle w:val="Standard"/>
        <w:spacing w:line="360" w:lineRule="auto"/>
        <w:rPr>
          <w:rFonts w:cs="Times New Roman"/>
          <w:lang w:val="en-US"/>
        </w:rPr>
      </w:pPr>
    </w:p>
    <w:sectPr w:rsidR="006A73E6">
      <w:headerReference w:type="default" r:id="rId7"/>
      <w:pgSz w:w="11906" w:h="16838"/>
      <w:pgMar w:top="1417" w:right="1417" w:bottom="1417" w:left="1417"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332" w:rsidRDefault="00245332">
      <w:pPr>
        <w:spacing w:after="0" w:line="240" w:lineRule="auto"/>
      </w:pPr>
      <w:r>
        <w:separator/>
      </w:r>
    </w:p>
  </w:endnote>
  <w:endnote w:type="continuationSeparator" w:id="0">
    <w:p w:rsidR="00245332" w:rsidRDefault="0024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NewRomanPSMT">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332" w:rsidRDefault="00245332">
      <w:pPr>
        <w:spacing w:after="0" w:line="240" w:lineRule="auto"/>
      </w:pPr>
      <w:r>
        <w:rPr>
          <w:color w:val="000000"/>
        </w:rPr>
        <w:separator/>
      </w:r>
    </w:p>
  </w:footnote>
  <w:footnote w:type="continuationSeparator" w:id="0">
    <w:p w:rsidR="00245332" w:rsidRDefault="00245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04" w:rsidRDefault="00E758CE">
    <w:pPr>
      <w:pStyle w:val="En-tte"/>
    </w:pPr>
    <w:r>
      <w:fldChar w:fldCharType="begin"/>
    </w:r>
    <w:r>
      <w:instrText xml:space="preserve"> PAGE </w:instrText>
    </w:r>
    <w:r>
      <w:fldChar w:fldCharType="separate"/>
    </w:r>
    <w:r w:rsidR="00440870">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A73E6"/>
    <w:rsid w:val="00015A7C"/>
    <w:rsid w:val="001B0CC3"/>
    <w:rsid w:val="00245332"/>
    <w:rsid w:val="002520A8"/>
    <w:rsid w:val="002D7E7E"/>
    <w:rsid w:val="003124DD"/>
    <w:rsid w:val="00440870"/>
    <w:rsid w:val="004F0095"/>
    <w:rsid w:val="00575C5B"/>
    <w:rsid w:val="00592E98"/>
    <w:rsid w:val="006A73E6"/>
    <w:rsid w:val="00892DE1"/>
    <w:rsid w:val="009066CF"/>
    <w:rsid w:val="00C11923"/>
    <w:rsid w:val="00C142C8"/>
    <w:rsid w:val="00D04E1C"/>
    <w:rsid w:val="00D3182B"/>
    <w:rsid w:val="00D520DB"/>
    <w:rsid w:val="00D67A76"/>
    <w:rsid w:val="00DD4898"/>
    <w:rsid w:val="00E33632"/>
    <w:rsid w:val="00E758CE"/>
    <w:rsid w:val="00E83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Arial Unicode MS"/>
      <w:sz w:val="24"/>
      <w:szCs w:val="24"/>
      <w:lang w:eastAsia="zh-CN" w:bidi="hi-IN"/>
    </w:rPr>
  </w:style>
  <w:style w:type="paragraph" w:customStyle="1" w:styleId="Heading">
    <w:name w:val="Heading"/>
    <w:basedOn w:val="Standard"/>
    <w:next w:val="Textbody"/>
    <w:pPr>
      <w:keepNext/>
      <w:spacing w:before="240" w:after="120"/>
    </w:pPr>
    <w:rPr>
      <w:rFonts w:ascii="Arial" w:eastAsia="SimSun"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character" w:customStyle="1" w:styleId="En-tteCar">
    <w:name w:val="En-tête Car"/>
    <w:basedOn w:val="Policepardfaut"/>
  </w:style>
  <w:style w:type="character" w:customStyle="1" w:styleId="PieddepageCar">
    <w:name w:val="Pied de page Car"/>
    <w:basedOn w:val="Policepardfau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Arial Unicode MS"/>
      <w:sz w:val="24"/>
      <w:szCs w:val="24"/>
      <w:lang w:eastAsia="zh-CN" w:bidi="hi-IN"/>
    </w:rPr>
  </w:style>
  <w:style w:type="paragraph" w:customStyle="1" w:styleId="Heading">
    <w:name w:val="Heading"/>
    <w:basedOn w:val="Standard"/>
    <w:next w:val="Textbody"/>
    <w:pPr>
      <w:keepNext/>
      <w:spacing w:before="240" w:after="120"/>
    </w:pPr>
    <w:rPr>
      <w:rFonts w:ascii="Arial" w:eastAsia="SimSun"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character" w:customStyle="1" w:styleId="En-tteCar">
    <w:name w:val="En-tête Car"/>
    <w:basedOn w:val="Policepardfaut"/>
  </w:style>
  <w:style w:type="character" w:customStyle="1" w:styleId="PieddepageCar">
    <w:name w:val="Pied de page Car"/>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5210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dcterms:created xsi:type="dcterms:W3CDTF">2015-01-14T18:21:00Z</dcterms:created>
  <dcterms:modified xsi:type="dcterms:W3CDTF">2015-01-14T18:21:00Z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