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C" w:rsidRPr="0026222C" w:rsidRDefault="0026222C" w:rsidP="0026222C">
      <w:pPr>
        <w:pStyle w:val="NormalWeb"/>
        <w:spacing w:before="0" w:beforeAutospacing="0" w:after="0" w:afterAutospacing="0" w:line="312" w:lineRule="atLeast"/>
        <w:jc w:val="center"/>
        <w:rPr>
          <w:b/>
          <w:color w:val="333333"/>
          <w:sz w:val="32"/>
          <w:szCs w:val="32"/>
          <w:lang w:val="en-US"/>
        </w:rPr>
      </w:pPr>
      <w:r w:rsidRPr="0026222C">
        <w:rPr>
          <w:b/>
          <w:color w:val="333333"/>
          <w:sz w:val="32"/>
          <w:szCs w:val="32"/>
          <w:lang w:val="en-US"/>
        </w:rPr>
        <w:t>The Semantic Mass-Count Distinction for Categories Lacking a Syntactic Mass-Count Distinction</w:t>
      </w:r>
    </w:p>
    <w:p w:rsidR="0026222C" w:rsidRPr="0026222C" w:rsidRDefault="0026222C" w:rsidP="0026222C">
      <w:pPr>
        <w:pStyle w:val="NormalWeb"/>
        <w:spacing w:before="0" w:beforeAutospacing="0" w:after="0" w:afterAutospacing="0" w:line="312" w:lineRule="atLeast"/>
        <w:rPr>
          <w:color w:val="333333"/>
          <w:lang w:val="en-US"/>
        </w:rPr>
      </w:pPr>
    </w:p>
    <w:p w:rsidR="0026222C" w:rsidRPr="0026222C" w:rsidRDefault="0026222C" w:rsidP="0026222C">
      <w:pPr>
        <w:pStyle w:val="NormalWeb"/>
        <w:spacing w:before="0" w:beforeAutospacing="0" w:after="0" w:afterAutospacing="0" w:line="312" w:lineRule="atLeast"/>
        <w:jc w:val="center"/>
        <w:rPr>
          <w:color w:val="333333"/>
          <w:lang w:val="en-US"/>
        </w:rPr>
      </w:pPr>
      <w:r w:rsidRPr="0026222C">
        <w:rPr>
          <w:color w:val="333333"/>
          <w:lang w:val="en-US"/>
        </w:rPr>
        <w:t>November 2019.</w:t>
      </w:r>
    </w:p>
    <w:p w:rsidR="0026222C" w:rsidRDefault="0026222C" w:rsidP="0026222C">
      <w:pPr>
        <w:pStyle w:val="NormalWeb"/>
        <w:spacing w:before="0" w:beforeAutospacing="0" w:after="0" w:afterAutospacing="0" w:line="312" w:lineRule="atLeast"/>
        <w:rPr>
          <w:color w:val="333333"/>
          <w:lang w:val="en-US"/>
        </w:rPr>
      </w:pPr>
    </w:p>
    <w:p w:rsidR="0026222C" w:rsidRDefault="0026222C" w:rsidP="0026222C">
      <w:pPr>
        <w:pStyle w:val="NormalWeb"/>
        <w:spacing w:before="0" w:beforeAutospacing="0" w:after="0" w:afterAutospacing="0" w:line="312" w:lineRule="atLeast"/>
        <w:rPr>
          <w:color w:val="333333"/>
          <w:lang w:val="en-US"/>
        </w:rPr>
      </w:pPr>
    </w:p>
    <w:p w:rsidR="0026222C" w:rsidRPr="0026222C" w:rsidRDefault="0026222C" w:rsidP="0026222C">
      <w:pPr>
        <w:pStyle w:val="NormalWeb"/>
        <w:spacing w:before="0" w:beforeAutospacing="0" w:after="0" w:afterAutospacing="0" w:line="312" w:lineRule="atLeast"/>
        <w:rPr>
          <w:color w:val="333333"/>
          <w:lang w:val="en-US"/>
        </w:rPr>
      </w:pPr>
      <w:bookmarkStart w:id="0" w:name="_GoBack"/>
      <w:bookmarkEnd w:id="0"/>
      <w:r w:rsidRPr="0026222C">
        <w:rPr>
          <w:color w:val="333333"/>
          <w:lang w:val="en-US"/>
        </w:rPr>
        <w:t>Abstract:</w:t>
      </w:r>
    </w:p>
    <w:p w:rsidR="0026222C" w:rsidRPr="0026222C" w:rsidRDefault="0026222C" w:rsidP="0026222C">
      <w:pPr>
        <w:pStyle w:val="NormalWeb"/>
        <w:spacing w:before="195" w:beforeAutospacing="0" w:after="195" w:afterAutospacing="0" w:line="312" w:lineRule="atLeast"/>
        <w:rPr>
          <w:color w:val="333333"/>
          <w:lang w:val="en-US"/>
        </w:rPr>
      </w:pPr>
      <w:r w:rsidRPr="0026222C">
        <w:rPr>
          <w:color w:val="333333"/>
          <w:lang w:val="en-US"/>
        </w:rPr>
        <w:t xml:space="preserve">The mass-count distinction as a syntactic distinction among nouns is generally taken to have semantic content, that is, to reflect a semantic mass-count distinction. On the standard approaches, the semantic mass-count distinction consists in differences in </w:t>
      </w:r>
      <w:proofErr w:type="spellStart"/>
      <w:r w:rsidRPr="0026222C">
        <w:rPr>
          <w:color w:val="333333"/>
          <w:lang w:val="en-US"/>
        </w:rPr>
        <w:t>mereological</w:t>
      </w:r>
      <w:proofErr w:type="spellEnd"/>
      <w:r w:rsidRPr="0026222C">
        <w:rPr>
          <w:color w:val="333333"/>
          <w:lang w:val="en-US"/>
        </w:rPr>
        <w:t xml:space="preserve"> properties of either the extension of nouns or of the entities (or entities-in-situations) in those extensions. This raises the general question how the semantic distinction applies to syntactic categories lacking a syntactic mass-count distinction. That question has often been answered with respect to the verbal domain of events, which, so the general view, displays the very same semantic mass-count distinction as nouns. This paper challenges that view, and more generally, the view that categories lacking a syntactic mass-count distinction display a semantic mass-count distinction. Syntactic categories lacking a (syntactic) mass-count distinction classify semantically as number-neutral, rather than dividing into mass and count. The paper rejects the standard approaches to the semantic mass-count distinction for the characterization of number-neutrality and suggests one in terms of a primitive, cognitive notion of unity, which is associated with the syntactic count category and which is absent in number-neutral domains. The</w:t>
      </w:r>
      <w:proofErr w:type="gramStart"/>
      <w:r w:rsidRPr="0026222C">
        <w:rPr>
          <w:color w:val="333333"/>
          <w:lang w:val="en-US"/>
        </w:rPr>
        <w:t>  resulting</w:t>
      </w:r>
      <w:proofErr w:type="gramEnd"/>
      <w:r w:rsidRPr="0026222C">
        <w:rPr>
          <w:color w:val="333333"/>
          <w:lang w:val="en-US"/>
        </w:rPr>
        <w:t xml:space="preserve"> view is one of a perspectival, language-driven ontology of </w:t>
      </w:r>
      <w:proofErr w:type="spellStart"/>
      <w:r w:rsidRPr="0026222C">
        <w:rPr>
          <w:color w:val="333333"/>
          <w:lang w:val="en-US"/>
        </w:rPr>
        <w:t>countability</w:t>
      </w:r>
      <w:proofErr w:type="spellEnd"/>
      <w:r w:rsidRPr="0026222C">
        <w:rPr>
          <w:color w:val="333333"/>
          <w:lang w:val="en-US"/>
        </w:rPr>
        <w:t xml:space="preserve"> that may diverge significantly from the more language-independent cognitive ontology in which conditions of gestalt, integrity and persistence play an individuating role.</w:t>
      </w:r>
    </w:p>
    <w:p w:rsidR="000C2E35" w:rsidRPr="0026222C" w:rsidRDefault="000C2E3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2E35" w:rsidRPr="0026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C"/>
    <w:rsid w:val="000C2E35"/>
    <w:rsid w:val="002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62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62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</cp:revision>
  <dcterms:created xsi:type="dcterms:W3CDTF">2019-12-02T23:41:00Z</dcterms:created>
  <dcterms:modified xsi:type="dcterms:W3CDTF">2019-12-02T23:43:00Z</dcterms:modified>
</cp:coreProperties>
</file>