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326" w:rsidRPr="004A7DA2" w:rsidRDefault="002B0015" w:rsidP="004A7DA2">
      <w:pPr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4A7DA2">
        <w:rPr>
          <w:rFonts w:ascii="Times New Roman" w:hAnsi="Times New Roman" w:cs="Times New Roman"/>
          <w:b/>
          <w:bCs/>
          <w:lang w:val="en-US"/>
        </w:rPr>
        <w:t>A</w:t>
      </w:r>
      <w:proofErr w:type="spellEnd"/>
      <w:r w:rsidRPr="004A7DA2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A7DA2">
        <w:rPr>
          <w:rFonts w:ascii="Times New Roman" w:hAnsi="Times New Roman" w:cs="Times New Roman"/>
          <w:b/>
          <w:bCs/>
          <w:lang w:val="en-US"/>
        </w:rPr>
        <w:t>Positionalist</w:t>
      </w:r>
      <w:proofErr w:type="spellEnd"/>
      <w:r w:rsidRPr="004A7DA2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A7DA2">
        <w:rPr>
          <w:rFonts w:ascii="Times New Roman" w:hAnsi="Times New Roman" w:cs="Times New Roman"/>
          <w:b/>
          <w:bCs/>
          <w:lang w:val="en-US"/>
        </w:rPr>
        <w:t>A</w:t>
      </w:r>
      <w:r w:rsidRPr="004A7DA2">
        <w:rPr>
          <w:rFonts w:ascii="Times New Roman" w:hAnsi="Times New Roman" w:cs="Times New Roman"/>
          <w:b/>
          <w:bCs/>
          <w:lang w:val="en-US"/>
        </w:rPr>
        <w:t xml:space="preserve">lternative to the Notion of a </w:t>
      </w:r>
      <w:r w:rsidR="004A7DA2">
        <w:rPr>
          <w:rFonts w:ascii="Times New Roman" w:hAnsi="Times New Roman" w:cs="Times New Roman"/>
          <w:b/>
          <w:bCs/>
          <w:lang w:val="en-US"/>
        </w:rPr>
        <w:t>V</w:t>
      </w:r>
      <w:r w:rsidRPr="004A7DA2">
        <w:rPr>
          <w:rFonts w:ascii="Times New Roman" w:hAnsi="Times New Roman" w:cs="Times New Roman"/>
          <w:b/>
          <w:bCs/>
          <w:lang w:val="en-US"/>
        </w:rPr>
        <w:t xml:space="preserve">ariable </w:t>
      </w:r>
      <w:r w:rsidR="00F06E24">
        <w:rPr>
          <w:rFonts w:ascii="Times New Roman" w:hAnsi="Times New Roman" w:cs="Times New Roman"/>
          <w:b/>
          <w:bCs/>
          <w:lang w:val="en-US"/>
        </w:rPr>
        <w:t>E</w:t>
      </w:r>
      <w:r w:rsidRPr="004A7DA2">
        <w:rPr>
          <w:rFonts w:ascii="Times New Roman" w:hAnsi="Times New Roman" w:cs="Times New Roman"/>
          <w:b/>
          <w:bCs/>
          <w:lang w:val="en-US"/>
        </w:rPr>
        <w:t>mbodiment</w:t>
      </w:r>
    </w:p>
    <w:p w:rsidR="00F01F9A" w:rsidRDefault="002B0015">
      <w:pPr>
        <w:rPr>
          <w:rFonts w:ascii="Times New Roman" w:hAnsi="Times New Roman" w:cs="Times New Roman"/>
          <w:lang w:val="en-US"/>
        </w:rPr>
      </w:pPr>
      <w:r w:rsidRPr="00F01F9A">
        <w:rPr>
          <w:rFonts w:ascii="Times New Roman" w:hAnsi="Times New Roman" w:cs="Times New Roman"/>
          <w:lang w:val="en-US"/>
        </w:rPr>
        <w:t xml:space="preserve">Fine </w:t>
      </w:r>
      <w:r w:rsidR="00F06E24">
        <w:rPr>
          <w:rFonts w:ascii="Times New Roman" w:hAnsi="Times New Roman" w:cs="Times New Roman"/>
          <w:lang w:val="en-US"/>
        </w:rPr>
        <w:t xml:space="preserve">(1999) </w:t>
      </w:r>
      <w:r w:rsidRPr="00F01F9A">
        <w:rPr>
          <w:rFonts w:ascii="Times New Roman" w:hAnsi="Times New Roman" w:cs="Times New Roman"/>
          <w:lang w:val="en-US"/>
        </w:rPr>
        <w:t xml:space="preserve">introduced the influential notion of a variable embodiment in order to account for </w:t>
      </w:r>
    </w:p>
    <w:p w:rsidR="00915D31" w:rsidRDefault="002B0015">
      <w:pPr>
        <w:rPr>
          <w:rFonts w:ascii="Times New Roman" w:hAnsi="Times New Roman" w:cs="Times New Roman"/>
          <w:lang w:val="en-US"/>
        </w:rPr>
      </w:pPr>
      <w:r w:rsidRPr="00F01F9A">
        <w:rPr>
          <w:rFonts w:ascii="Times New Roman" w:hAnsi="Times New Roman" w:cs="Times New Roman"/>
          <w:lang w:val="en-US"/>
        </w:rPr>
        <w:t>(</w:t>
      </w:r>
      <w:proofErr w:type="spellStart"/>
      <w:r w:rsidR="00F01F9A">
        <w:rPr>
          <w:rFonts w:ascii="Times New Roman" w:hAnsi="Times New Roman" w:cs="Times New Roman"/>
          <w:lang w:val="en-US"/>
        </w:rPr>
        <w:t>i</w:t>
      </w:r>
      <w:proofErr w:type="spellEnd"/>
      <w:r w:rsidRPr="00F01F9A">
        <w:rPr>
          <w:rFonts w:ascii="Times New Roman" w:hAnsi="Times New Roman" w:cs="Times New Roman"/>
          <w:lang w:val="en-US"/>
        </w:rPr>
        <w:t>) the possibility of the replacement of parts or matter in certain types of objects</w:t>
      </w:r>
      <w:r w:rsidR="00F01F9A">
        <w:rPr>
          <w:rFonts w:ascii="Times New Roman" w:hAnsi="Times New Roman" w:cs="Times New Roman"/>
          <w:lang w:val="en-US"/>
        </w:rPr>
        <w:t xml:space="preserve"> (structured objects or ‘the water in the container</w:t>
      </w:r>
      <w:r w:rsidR="00F06E24">
        <w:rPr>
          <w:rFonts w:ascii="Times New Roman" w:hAnsi="Times New Roman" w:cs="Times New Roman"/>
          <w:lang w:val="en-US"/>
        </w:rPr>
        <w:t>’</w:t>
      </w:r>
      <w:r w:rsidR="00F01F9A">
        <w:rPr>
          <w:rFonts w:ascii="Times New Roman" w:hAnsi="Times New Roman" w:cs="Times New Roman"/>
          <w:lang w:val="en-US"/>
        </w:rPr>
        <w:t>) a</w:t>
      </w:r>
      <w:r w:rsidRPr="00F01F9A">
        <w:rPr>
          <w:rFonts w:ascii="Times New Roman" w:hAnsi="Times New Roman" w:cs="Times New Roman"/>
          <w:lang w:val="en-US"/>
        </w:rPr>
        <w:t xml:space="preserve">nd </w:t>
      </w:r>
      <w:r w:rsidR="00F01F9A">
        <w:rPr>
          <w:rFonts w:ascii="Times New Roman" w:hAnsi="Times New Roman" w:cs="Times New Roman"/>
          <w:lang w:val="en-US"/>
        </w:rPr>
        <w:t>(ii</w:t>
      </w:r>
      <w:r w:rsidRPr="00F01F9A">
        <w:rPr>
          <w:rFonts w:ascii="Times New Roman" w:hAnsi="Times New Roman" w:cs="Times New Roman"/>
          <w:lang w:val="en-US"/>
        </w:rPr>
        <w:t xml:space="preserve">) the </w:t>
      </w:r>
      <w:r w:rsidR="00863D60" w:rsidRPr="00F01F9A">
        <w:rPr>
          <w:rFonts w:ascii="Times New Roman" w:hAnsi="Times New Roman" w:cs="Times New Roman"/>
          <w:lang w:val="en-US"/>
        </w:rPr>
        <w:t xml:space="preserve">ontology of roles such as </w:t>
      </w:r>
      <w:r w:rsidR="00F06E24">
        <w:rPr>
          <w:rFonts w:ascii="Times New Roman" w:hAnsi="Times New Roman" w:cs="Times New Roman"/>
          <w:lang w:val="en-US"/>
        </w:rPr>
        <w:t>‘</w:t>
      </w:r>
      <w:r w:rsidR="00863D60" w:rsidRPr="00F01F9A">
        <w:rPr>
          <w:rFonts w:ascii="Times New Roman" w:hAnsi="Times New Roman" w:cs="Times New Roman"/>
          <w:lang w:val="en-US"/>
        </w:rPr>
        <w:t>the president of the US</w:t>
      </w:r>
      <w:r w:rsidR="00F06E24">
        <w:rPr>
          <w:rFonts w:ascii="Times New Roman" w:hAnsi="Times New Roman" w:cs="Times New Roman"/>
          <w:lang w:val="en-US"/>
        </w:rPr>
        <w:t>’, which can be manifested by different individuals at different times</w:t>
      </w:r>
      <w:r w:rsidR="00F01F9A">
        <w:rPr>
          <w:rFonts w:ascii="Times New Roman" w:hAnsi="Times New Roman" w:cs="Times New Roman"/>
          <w:lang w:val="en-US"/>
        </w:rPr>
        <w:t>. A variable embodiment is</w:t>
      </w:r>
      <w:r w:rsidR="00F06E24">
        <w:rPr>
          <w:rFonts w:ascii="Times New Roman" w:hAnsi="Times New Roman" w:cs="Times New Roman"/>
          <w:lang w:val="en-US"/>
        </w:rPr>
        <w:t xml:space="preserve"> defined as</w:t>
      </w:r>
      <w:r w:rsidR="00F01F9A">
        <w:rPr>
          <w:rFonts w:ascii="Times New Roman" w:hAnsi="Times New Roman" w:cs="Times New Roman"/>
          <w:lang w:val="en-US"/>
        </w:rPr>
        <w:t xml:space="preserve"> </w:t>
      </w:r>
      <w:r w:rsidR="00F06E24">
        <w:rPr>
          <w:rFonts w:ascii="Times New Roman" w:hAnsi="Times New Roman" w:cs="Times New Roman"/>
          <w:lang w:val="en-US"/>
        </w:rPr>
        <w:t>an object associated with a ‘form’, which is simply a function from times (or circumstances) to concrete realizations</w:t>
      </w:r>
      <w:r w:rsidR="00F01F9A">
        <w:rPr>
          <w:rFonts w:ascii="Times New Roman" w:hAnsi="Times New Roman" w:cs="Times New Roman"/>
          <w:lang w:val="en-US"/>
        </w:rPr>
        <w:t>.</w:t>
      </w:r>
      <w:r w:rsidR="00FB6B32">
        <w:rPr>
          <w:rFonts w:ascii="Times New Roman" w:hAnsi="Times New Roman" w:cs="Times New Roman"/>
          <w:lang w:val="en-US"/>
        </w:rPr>
        <w:t xml:space="preserve"> </w:t>
      </w:r>
      <w:r w:rsidR="00F01F9A">
        <w:rPr>
          <w:rFonts w:ascii="Times New Roman" w:hAnsi="Times New Roman" w:cs="Times New Roman"/>
          <w:lang w:val="en-US"/>
        </w:rPr>
        <w:t xml:space="preserve">A common critique of </w:t>
      </w:r>
      <w:r w:rsidR="00FB6B32">
        <w:rPr>
          <w:rFonts w:ascii="Times New Roman" w:hAnsi="Times New Roman" w:cs="Times New Roman"/>
          <w:lang w:val="en-US"/>
        </w:rPr>
        <w:t>the notion of a variable embodiment</w:t>
      </w:r>
      <w:r w:rsidR="00F06E24">
        <w:rPr>
          <w:rFonts w:ascii="Times New Roman" w:hAnsi="Times New Roman" w:cs="Times New Roman"/>
          <w:lang w:val="en-US"/>
        </w:rPr>
        <w:t>, however,</w:t>
      </w:r>
      <w:r w:rsidR="00FB6B32">
        <w:rPr>
          <w:rFonts w:ascii="Times New Roman" w:hAnsi="Times New Roman" w:cs="Times New Roman"/>
          <w:lang w:val="en-US"/>
        </w:rPr>
        <w:t xml:space="preserve"> is that it entirely unconstrained: simply positing a function </w:t>
      </w:r>
      <w:r w:rsidR="00F06E24">
        <w:rPr>
          <w:rFonts w:ascii="Times New Roman" w:hAnsi="Times New Roman" w:cs="Times New Roman"/>
          <w:lang w:val="en-US"/>
        </w:rPr>
        <w:t xml:space="preserve">from </w:t>
      </w:r>
      <w:r w:rsidR="00FB6B32">
        <w:rPr>
          <w:rFonts w:ascii="Times New Roman" w:hAnsi="Times New Roman" w:cs="Times New Roman"/>
          <w:lang w:val="en-US"/>
        </w:rPr>
        <w:t>time</w:t>
      </w:r>
      <w:r w:rsidR="00F06E24">
        <w:rPr>
          <w:rFonts w:ascii="Times New Roman" w:hAnsi="Times New Roman" w:cs="Times New Roman"/>
          <w:lang w:val="en-US"/>
        </w:rPr>
        <w:t>s</w:t>
      </w:r>
      <w:r w:rsidR="00FB6B32">
        <w:rPr>
          <w:rFonts w:ascii="Times New Roman" w:hAnsi="Times New Roman" w:cs="Times New Roman"/>
          <w:lang w:val="en-US"/>
        </w:rPr>
        <w:t xml:space="preserve"> (or </w:t>
      </w:r>
      <w:r w:rsidR="004A7DA2">
        <w:rPr>
          <w:rFonts w:ascii="Times New Roman" w:hAnsi="Times New Roman" w:cs="Times New Roman"/>
          <w:lang w:val="en-US"/>
        </w:rPr>
        <w:t>c</w:t>
      </w:r>
      <w:r w:rsidR="00FB6B32">
        <w:rPr>
          <w:rFonts w:ascii="Times New Roman" w:hAnsi="Times New Roman" w:cs="Times New Roman"/>
          <w:lang w:val="en-US"/>
        </w:rPr>
        <w:t>i</w:t>
      </w:r>
      <w:r w:rsidR="004A7DA2">
        <w:rPr>
          <w:rFonts w:ascii="Times New Roman" w:hAnsi="Times New Roman" w:cs="Times New Roman"/>
          <w:lang w:val="en-US"/>
        </w:rPr>
        <w:t>r</w:t>
      </w:r>
      <w:r w:rsidR="00FB6B32">
        <w:rPr>
          <w:rFonts w:ascii="Times New Roman" w:hAnsi="Times New Roman" w:cs="Times New Roman"/>
          <w:lang w:val="en-US"/>
        </w:rPr>
        <w:t>cumstances) to realizations</w:t>
      </w:r>
      <w:r w:rsidR="00F06E24">
        <w:rPr>
          <w:rFonts w:ascii="Times New Roman" w:hAnsi="Times New Roman" w:cs="Times New Roman"/>
          <w:lang w:val="en-US"/>
        </w:rPr>
        <w:t xml:space="preserve"> fails to </w:t>
      </w:r>
      <w:r w:rsidR="00915D31">
        <w:rPr>
          <w:rFonts w:ascii="Times New Roman" w:hAnsi="Times New Roman" w:cs="Times New Roman"/>
          <w:lang w:val="en-US"/>
        </w:rPr>
        <w:t xml:space="preserve">account for the fact that </w:t>
      </w:r>
      <w:r w:rsidR="00F06E24">
        <w:rPr>
          <w:rFonts w:ascii="Times New Roman" w:hAnsi="Times New Roman" w:cs="Times New Roman"/>
          <w:lang w:val="en-US"/>
        </w:rPr>
        <w:t xml:space="preserve">it is generally </w:t>
      </w:r>
      <w:r w:rsidR="00915D31">
        <w:rPr>
          <w:rFonts w:ascii="Times New Roman" w:hAnsi="Times New Roman" w:cs="Times New Roman"/>
          <w:lang w:val="en-US"/>
        </w:rPr>
        <w:t xml:space="preserve">structure </w:t>
      </w:r>
      <w:r w:rsidR="00F06E24">
        <w:rPr>
          <w:rFonts w:ascii="Times New Roman" w:hAnsi="Times New Roman" w:cs="Times New Roman"/>
          <w:lang w:val="en-US"/>
        </w:rPr>
        <w:t xml:space="preserve">that </w:t>
      </w:r>
      <w:r w:rsidR="00915D31">
        <w:rPr>
          <w:rFonts w:ascii="Times New Roman" w:hAnsi="Times New Roman" w:cs="Times New Roman"/>
          <w:lang w:val="en-US"/>
        </w:rPr>
        <w:t>enables replacement of parts o</w:t>
      </w:r>
      <w:r w:rsidR="00F06E24">
        <w:rPr>
          <w:rFonts w:ascii="Times New Roman" w:hAnsi="Times New Roman" w:cs="Times New Roman"/>
          <w:lang w:val="en-US"/>
        </w:rPr>
        <w:t>r</w:t>
      </w:r>
      <w:r w:rsidR="00915D31">
        <w:rPr>
          <w:rFonts w:ascii="Times New Roman" w:hAnsi="Times New Roman" w:cs="Times New Roman"/>
          <w:lang w:val="en-US"/>
        </w:rPr>
        <w:t xml:space="preserve"> matter, a critique that </w:t>
      </w:r>
      <w:r w:rsidR="00F06E24">
        <w:rPr>
          <w:rFonts w:ascii="Times New Roman" w:hAnsi="Times New Roman" w:cs="Times New Roman"/>
          <w:lang w:val="en-US"/>
        </w:rPr>
        <w:t>equally</w:t>
      </w:r>
      <w:r w:rsidR="00915D31">
        <w:rPr>
          <w:rFonts w:ascii="Times New Roman" w:hAnsi="Times New Roman" w:cs="Times New Roman"/>
          <w:lang w:val="en-US"/>
        </w:rPr>
        <w:t xml:space="preserve"> appl</w:t>
      </w:r>
      <w:r w:rsidR="00F06E24">
        <w:rPr>
          <w:rFonts w:ascii="Times New Roman" w:hAnsi="Times New Roman" w:cs="Times New Roman"/>
          <w:lang w:val="en-US"/>
        </w:rPr>
        <w:t>ies</w:t>
      </w:r>
      <w:r w:rsidR="00915D31">
        <w:rPr>
          <w:rFonts w:ascii="Times New Roman" w:hAnsi="Times New Roman" w:cs="Times New Roman"/>
          <w:lang w:val="en-US"/>
        </w:rPr>
        <w:t xml:space="preserve"> to slot mereology</w:t>
      </w:r>
      <w:r w:rsidR="00F06E24">
        <w:rPr>
          <w:rFonts w:ascii="Times New Roman" w:hAnsi="Times New Roman" w:cs="Times New Roman"/>
          <w:lang w:val="en-US"/>
        </w:rPr>
        <w:t xml:space="preserve"> (Bennett 2013)</w:t>
      </w:r>
      <w:r w:rsidR="00915D31">
        <w:rPr>
          <w:rFonts w:ascii="Times New Roman" w:hAnsi="Times New Roman" w:cs="Times New Roman"/>
          <w:lang w:val="en-US"/>
        </w:rPr>
        <w:t xml:space="preserve"> if that</w:t>
      </w:r>
      <w:r w:rsidR="00F06E24">
        <w:rPr>
          <w:rFonts w:ascii="Times New Roman" w:hAnsi="Times New Roman" w:cs="Times New Roman"/>
          <w:lang w:val="en-US"/>
        </w:rPr>
        <w:t xml:space="preserve"> </w:t>
      </w:r>
      <w:r w:rsidR="00915D31">
        <w:rPr>
          <w:rFonts w:ascii="Times New Roman" w:hAnsi="Times New Roman" w:cs="Times New Roman"/>
          <w:lang w:val="en-US"/>
        </w:rPr>
        <w:t xml:space="preserve">is taken as the basis of a theory of replacement. </w:t>
      </w:r>
    </w:p>
    <w:p w:rsidR="002B0015" w:rsidRDefault="00915D3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863D60" w:rsidRPr="00F01F9A">
        <w:rPr>
          <w:rFonts w:ascii="Times New Roman" w:hAnsi="Times New Roman" w:cs="Times New Roman"/>
          <w:lang w:val="en-US"/>
        </w:rPr>
        <w:t xml:space="preserve">In a different work, Fine </w:t>
      </w:r>
      <w:r w:rsidR="00F01F9A">
        <w:rPr>
          <w:rFonts w:ascii="Times New Roman" w:hAnsi="Times New Roman" w:cs="Times New Roman"/>
          <w:lang w:val="en-US"/>
        </w:rPr>
        <w:t xml:space="preserve">(2000) </w:t>
      </w:r>
      <w:r w:rsidR="00863D60" w:rsidRPr="00F01F9A">
        <w:rPr>
          <w:rFonts w:ascii="Times New Roman" w:hAnsi="Times New Roman" w:cs="Times New Roman"/>
          <w:lang w:val="en-US"/>
        </w:rPr>
        <w:t xml:space="preserve">argues for relations being neutral, not involving an </w:t>
      </w:r>
      <w:r w:rsidR="00F01F9A">
        <w:rPr>
          <w:rFonts w:ascii="Times New Roman" w:hAnsi="Times New Roman" w:cs="Times New Roman"/>
          <w:lang w:val="en-US"/>
        </w:rPr>
        <w:t xml:space="preserve">order among their arguments. </w:t>
      </w:r>
      <w:r w:rsidR="00F06E24">
        <w:rPr>
          <w:rFonts w:ascii="Times New Roman" w:hAnsi="Times New Roman" w:cs="Times New Roman"/>
          <w:lang w:val="en-US"/>
        </w:rPr>
        <w:t>Fine</w:t>
      </w:r>
      <w:r w:rsidR="00F01F9A">
        <w:rPr>
          <w:rFonts w:ascii="Times New Roman" w:hAnsi="Times New Roman" w:cs="Times New Roman"/>
          <w:lang w:val="en-US"/>
        </w:rPr>
        <w:t xml:space="preserve"> discusses an alternative to ordered arguments, namely </w:t>
      </w:r>
      <w:proofErr w:type="spellStart"/>
      <w:r w:rsidR="00F01F9A">
        <w:rPr>
          <w:rFonts w:ascii="Times New Roman" w:hAnsi="Times New Roman" w:cs="Times New Roman"/>
          <w:lang w:val="en-US"/>
        </w:rPr>
        <w:t>positionalism</w:t>
      </w:r>
      <w:proofErr w:type="spellEnd"/>
      <w:r w:rsidR="00F01F9A">
        <w:rPr>
          <w:rFonts w:ascii="Times New Roman" w:hAnsi="Times New Roman" w:cs="Times New Roman"/>
          <w:lang w:val="en-US"/>
        </w:rPr>
        <w:t xml:space="preserve">, on which relations come with distinct, but unordered positions. While </w:t>
      </w:r>
      <w:proofErr w:type="gramStart"/>
      <w:r w:rsidR="00F01F9A">
        <w:rPr>
          <w:rFonts w:ascii="Times New Roman" w:hAnsi="Times New Roman" w:cs="Times New Roman"/>
          <w:lang w:val="en-US"/>
        </w:rPr>
        <w:t>Fine</w:t>
      </w:r>
      <w:proofErr w:type="gramEnd"/>
      <w:r w:rsidR="00F01F9A">
        <w:rPr>
          <w:rFonts w:ascii="Times New Roman" w:hAnsi="Times New Roman" w:cs="Times New Roman"/>
          <w:lang w:val="en-US"/>
        </w:rPr>
        <w:t xml:space="preserve"> himself rejects </w:t>
      </w:r>
      <w:proofErr w:type="spellStart"/>
      <w:r w:rsidR="00F01F9A">
        <w:rPr>
          <w:rFonts w:ascii="Times New Roman" w:hAnsi="Times New Roman" w:cs="Times New Roman"/>
          <w:lang w:val="en-US"/>
        </w:rPr>
        <w:t>positionalism</w:t>
      </w:r>
      <w:proofErr w:type="spellEnd"/>
      <w:r w:rsidR="00F01F9A">
        <w:rPr>
          <w:rFonts w:ascii="Times New Roman" w:hAnsi="Times New Roman" w:cs="Times New Roman"/>
          <w:lang w:val="en-US"/>
        </w:rPr>
        <w:t>, there seem to</w:t>
      </w:r>
      <w:r w:rsidR="00F06E24">
        <w:rPr>
          <w:rFonts w:ascii="Times New Roman" w:hAnsi="Times New Roman" w:cs="Times New Roman"/>
          <w:lang w:val="en-US"/>
        </w:rPr>
        <w:t xml:space="preserve"> now</w:t>
      </w:r>
      <w:r w:rsidR="00F01F9A">
        <w:rPr>
          <w:rFonts w:ascii="Times New Roman" w:hAnsi="Times New Roman" w:cs="Times New Roman"/>
          <w:lang w:val="en-US"/>
        </w:rPr>
        <w:t xml:space="preserve"> </w:t>
      </w:r>
      <w:r w:rsidR="00F06E24">
        <w:rPr>
          <w:rFonts w:ascii="Times New Roman" w:hAnsi="Times New Roman" w:cs="Times New Roman"/>
          <w:lang w:val="en-US"/>
        </w:rPr>
        <w:t xml:space="preserve">be </w:t>
      </w:r>
      <w:r w:rsidR="00F01F9A">
        <w:rPr>
          <w:rFonts w:ascii="Times New Roman" w:hAnsi="Times New Roman" w:cs="Times New Roman"/>
          <w:lang w:val="en-US"/>
        </w:rPr>
        <w:t xml:space="preserve">viable versions of </w:t>
      </w:r>
      <w:proofErr w:type="spellStart"/>
      <w:r w:rsidR="00F01F9A">
        <w:rPr>
          <w:rFonts w:ascii="Times New Roman" w:hAnsi="Times New Roman" w:cs="Times New Roman"/>
          <w:lang w:val="en-US"/>
        </w:rPr>
        <w:t>positional</w:t>
      </w:r>
      <w:r w:rsidR="00283376">
        <w:rPr>
          <w:rFonts w:ascii="Times New Roman" w:hAnsi="Times New Roman" w:cs="Times New Roman"/>
          <w:lang w:val="en-US"/>
        </w:rPr>
        <w:t>i</w:t>
      </w:r>
      <w:r w:rsidR="00F01F9A">
        <w:rPr>
          <w:rFonts w:ascii="Times New Roman" w:hAnsi="Times New Roman" w:cs="Times New Roman"/>
          <w:lang w:val="en-US"/>
        </w:rPr>
        <w:t>sm</w:t>
      </w:r>
      <w:proofErr w:type="spellEnd"/>
      <w:r w:rsidR="00F01F9A">
        <w:rPr>
          <w:rFonts w:ascii="Times New Roman" w:hAnsi="Times New Roman" w:cs="Times New Roman"/>
          <w:lang w:val="en-US"/>
        </w:rPr>
        <w:t xml:space="preserve"> that avoid the problems Fine pointed out for symmetric relations</w:t>
      </w:r>
      <w:r w:rsidR="00F06E24">
        <w:rPr>
          <w:rFonts w:ascii="Times New Roman" w:hAnsi="Times New Roman" w:cs="Times New Roman"/>
          <w:lang w:val="en-US"/>
        </w:rPr>
        <w:t>, such as</w:t>
      </w:r>
      <w:r w:rsidR="00F01F9A">
        <w:rPr>
          <w:rFonts w:ascii="Times New Roman" w:hAnsi="Times New Roman" w:cs="Times New Roman"/>
          <w:lang w:val="en-US"/>
        </w:rPr>
        <w:t xml:space="preserve"> Dixon’s </w:t>
      </w:r>
      <w:r w:rsidR="00F06E24">
        <w:rPr>
          <w:rFonts w:ascii="Times New Roman" w:hAnsi="Times New Roman" w:cs="Times New Roman"/>
          <w:lang w:val="en-US"/>
        </w:rPr>
        <w:t xml:space="preserve">(2018) </w:t>
      </w:r>
      <w:r w:rsidR="00F01F9A">
        <w:rPr>
          <w:rFonts w:ascii="Times New Roman" w:hAnsi="Times New Roman" w:cs="Times New Roman"/>
          <w:lang w:val="en-US"/>
        </w:rPr>
        <w:t xml:space="preserve">plural slot theory.  In this talk I </w:t>
      </w:r>
      <w:r w:rsidR="00F06E24">
        <w:rPr>
          <w:rFonts w:ascii="Times New Roman" w:hAnsi="Times New Roman" w:cs="Times New Roman"/>
          <w:lang w:val="en-US"/>
        </w:rPr>
        <w:t xml:space="preserve">will </w:t>
      </w:r>
      <w:r w:rsidR="00F01F9A">
        <w:rPr>
          <w:rFonts w:ascii="Times New Roman" w:hAnsi="Times New Roman" w:cs="Times New Roman"/>
          <w:lang w:val="en-US"/>
        </w:rPr>
        <w:t xml:space="preserve">argue </w:t>
      </w:r>
      <w:r w:rsidR="00F06E24">
        <w:rPr>
          <w:rFonts w:ascii="Times New Roman" w:hAnsi="Times New Roman" w:cs="Times New Roman"/>
          <w:lang w:val="en-US"/>
        </w:rPr>
        <w:t xml:space="preserve">that </w:t>
      </w:r>
      <w:r w:rsidR="00F01F9A">
        <w:rPr>
          <w:rFonts w:ascii="Times New Roman" w:hAnsi="Times New Roman" w:cs="Times New Roman"/>
          <w:lang w:val="en-US"/>
        </w:rPr>
        <w:t>a p</w:t>
      </w:r>
      <w:proofErr w:type="spellStart"/>
      <w:r w:rsidR="00F01F9A">
        <w:rPr>
          <w:rFonts w:ascii="Times New Roman" w:hAnsi="Times New Roman" w:cs="Times New Roman"/>
          <w:lang w:val="en-US"/>
        </w:rPr>
        <w:t>ositionalist</w:t>
      </w:r>
      <w:proofErr w:type="spellEnd"/>
      <w:r w:rsidR="00F01F9A">
        <w:rPr>
          <w:rFonts w:ascii="Times New Roman" w:hAnsi="Times New Roman" w:cs="Times New Roman"/>
          <w:lang w:val="en-US"/>
        </w:rPr>
        <w:t xml:space="preserve"> view of relations (and properties) </w:t>
      </w:r>
      <w:r w:rsidR="00F06E24">
        <w:rPr>
          <w:rFonts w:ascii="Times New Roman" w:hAnsi="Times New Roman" w:cs="Times New Roman"/>
          <w:lang w:val="en-US"/>
        </w:rPr>
        <w:t>render</w:t>
      </w:r>
      <w:r w:rsidR="00F06E24">
        <w:rPr>
          <w:rFonts w:ascii="Times New Roman" w:hAnsi="Times New Roman" w:cs="Times New Roman"/>
          <w:lang w:val="en-US"/>
        </w:rPr>
        <w:t>s</w:t>
      </w:r>
      <w:r w:rsidR="00F06E24">
        <w:rPr>
          <w:rFonts w:ascii="Times New Roman" w:hAnsi="Times New Roman" w:cs="Times New Roman"/>
          <w:lang w:val="en-US"/>
        </w:rPr>
        <w:t xml:space="preserve"> the notion of a variable embodiment redundant and avoids its shortcomings </w:t>
      </w:r>
      <w:r w:rsidR="00F06E24">
        <w:rPr>
          <w:rFonts w:ascii="Times New Roman" w:hAnsi="Times New Roman" w:cs="Times New Roman"/>
          <w:lang w:val="en-US"/>
        </w:rPr>
        <w:t>when combined with a</w:t>
      </w:r>
      <w:r w:rsidR="00F01F9A">
        <w:rPr>
          <w:rFonts w:ascii="Times New Roman" w:hAnsi="Times New Roman" w:cs="Times New Roman"/>
          <w:lang w:val="en-US"/>
        </w:rPr>
        <w:t xml:space="preserve"> view on which </w:t>
      </w:r>
      <w:r>
        <w:rPr>
          <w:rFonts w:ascii="Times New Roman" w:hAnsi="Times New Roman" w:cs="Times New Roman"/>
          <w:lang w:val="en-US"/>
        </w:rPr>
        <w:t>the structure of objects is built from</w:t>
      </w:r>
      <w:r w:rsidR="00F06E24">
        <w:rPr>
          <w:rFonts w:ascii="Times New Roman" w:hAnsi="Times New Roman" w:cs="Times New Roman"/>
          <w:lang w:val="en-US"/>
        </w:rPr>
        <w:t xml:space="preserve"> (conjunctions of)</w:t>
      </w:r>
      <w:r>
        <w:rPr>
          <w:rFonts w:ascii="Times New Roman" w:hAnsi="Times New Roman" w:cs="Times New Roman"/>
          <w:lang w:val="en-US"/>
        </w:rPr>
        <w:t xml:space="preserve"> neutral relations and partial specifications of their positions with entities or types of entities</w:t>
      </w:r>
      <w:r w:rsidR="00F06E24">
        <w:rPr>
          <w:rFonts w:ascii="Times New Roman" w:hAnsi="Times New Roman" w:cs="Times New Roman"/>
          <w:lang w:val="en-US"/>
        </w:rPr>
        <w:t>. In addition, I show that there is significant support for an ontology of positions from natural language</w:t>
      </w:r>
      <w:r>
        <w:rPr>
          <w:rFonts w:ascii="Times New Roman" w:hAnsi="Times New Roman" w:cs="Times New Roman"/>
          <w:lang w:val="en-US"/>
        </w:rPr>
        <w:t xml:space="preserve">. </w:t>
      </w:r>
    </w:p>
    <w:p w:rsidR="00F06E24" w:rsidRDefault="00915D3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F06E24">
        <w:rPr>
          <w:rFonts w:ascii="Times New Roman" w:hAnsi="Times New Roman" w:cs="Times New Roman"/>
          <w:lang w:val="en-US"/>
        </w:rPr>
        <w:t>I will outline a view on which</w:t>
      </w:r>
      <w:r>
        <w:rPr>
          <w:rFonts w:ascii="Times New Roman" w:hAnsi="Times New Roman" w:cs="Times New Roman"/>
          <w:lang w:val="en-US"/>
        </w:rPr>
        <w:t xml:space="preserve"> the structure of objects consists in relations and properties being conjoined </w:t>
      </w:r>
      <w:r w:rsidR="00F06E24">
        <w:rPr>
          <w:rFonts w:ascii="Times New Roman" w:hAnsi="Times New Roman" w:cs="Times New Roman"/>
          <w:lang w:val="en-US"/>
        </w:rPr>
        <w:t>for</w:t>
      </w:r>
      <w:r>
        <w:rPr>
          <w:rFonts w:ascii="Times New Roman" w:hAnsi="Times New Roman" w:cs="Times New Roman"/>
          <w:lang w:val="en-US"/>
        </w:rPr>
        <w:t xml:space="preserve"> particular positions</w:t>
      </w:r>
      <w:r w:rsidR="00F06E24">
        <w:rPr>
          <w:rFonts w:ascii="Times New Roman" w:hAnsi="Times New Roman" w:cs="Times New Roman"/>
          <w:lang w:val="en-US"/>
        </w:rPr>
        <w:t xml:space="preserve"> and on which</w:t>
      </w:r>
      <w:r>
        <w:rPr>
          <w:rFonts w:ascii="Times New Roman" w:hAnsi="Times New Roman" w:cs="Times New Roman"/>
          <w:lang w:val="en-US"/>
        </w:rPr>
        <w:t xml:space="preserve"> positions may be specified for particular entities (or matter)</w:t>
      </w:r>
      <w:r w:rsidR="00F06E24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be left open, or be partially specified (e.g.  an open plural </w:t>
      </w:r>
      <w:r w:rsidR="00F06E24">
        <w:rPr>
          <w:rFonts w:ascii="Times New Roman" w:hAnsi="Times New Roman" w:cs="Times New Roman"/>
          <w:lang w:val="en-US"/>
        </w:rPr>
        <w:t xml:space="preserve">agent </w:t>
      </w:r>
      <w:r>
        <w:rPr>
          <w:rFonts w:ascii="Times New Roman" w:hAnsi="Times New Roman" w:cs="Times New Roman"/>
          <w:lang w:val="en-US"/>
        </w:rPr>
        <w:t>position</w:t>
      </w:r>
      <w:r w:rsidR="00F06E24">
        <w:rPr>
          <w:rFonts w:ascii="Times New Roman" w:hAnsi="Times New Roman" w:cs="Times New Roman"/>
          <w:lang w:val="en-US"/>
        </w:rPr>
        <w:t xml:space="preserve"> for events like demonstrations)</w:t>
      </w:r>
      <w:r>
        <w:rPr>
          <w:rFonts w:ascii="Times New Roman" w:hAnsi="Times New Roman" w:cs="Times New Roman"/>
          <w:lang w:val="en-US"/>
        </w:rPr>
        <w:t xml:space="preserve">. Slots </w:t>
      </w:r>
      <w:r w:rsidR="00F06E24">
        <w:rPr>
          <w:rFonts w:ascii="Times New Roman" w:hAnsi="Times New Roman" w:cs="Times New Roman"/>
          <w:lang w:val="en-US"/>
        </w:rPr>
        <w:t xml:space="preserve">in such structures may be </w:t>
      </w:r>
      <w:r>
        <w:rPr>
          <w:rFonts w:ascii="Times New Roman" w:hAnsi="Times New Roman" w:cs="Times New Roman"/>
          <w:lang w:val="en-US"/>
        </w:rPr>
        <w:t>specified for particular entities</w:t>
      </w:r>
      <w:r w:rsidR="00F06E24">
        <w:rPr>
          <w:rFonts w:ascii="Times New Roman" w:hAnsi="Times New Roman" w:cs="Times New Roman"/>
          <w:lang w:val="en-US"/>
        </w:rPr>
        <w:t>, which</w:t>
      </w:r>
      <w:r>
        <w:rPr>
          <w:rFonts w:ascii="Times New Roman" w:hAnsi="Times New Roman" w:cs="Times New Roman"/>
          <w:lang w:val="en-US"/>
        </w:rPr>
        <w:t xml:space="preserve"> amount</w:t>
      </w:r>
      <w:r w:rsidR="00F06E24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to rigid parts, </w:t>
      </w:r>
      <w:r w:rsidR="00F06E24">
        <w:rPr>
          <w:rFonts w:ascii="Times New Roman" w:hAnsi="Times New Roman" w:cs="Times New Roman"/>
          <w:lang w:val="en-US"/>
        </w:rPr>
        <w:t>and they may be</w:t>
      </w:r>
      <w:r>
        <w:rPr>
          <w:rFonts w:ascii="Times New Roman" w:hAnsi="Times New Roman" w:cs="Times New Roman"/>
          <w:lang w:val="en-US"/>
        </w:rPr>
        <w:t xml:space="preserve"> left open or </w:t>
      </w:r>
      <w:r w:rsidR="00F06E24">
        <w:rPr>
          <w:rFonts w:ascii="Times New Roman" w:hAnsi="Times New Roman" w:cs="Times New Roman"/>
          <w:lang w:val="en-US"/>
        </w:rPr>
        <w:t xml:space="preserve">only </w:t>
      </w:r>
      <w:r>
        <w:rPr>
          <w:rFonts w:ascii="Times New Roman" w:hAnsi="Times New Roman" w:cs="Times New Roman"/>
          <w:lang w:val="en-US"/>
        </w:rPr>
        <w:t>partially specified</w:t>
      </w:r>
      <w:r w:rsidR="00F06E24">
        <w:rPr>
          <w:rFonts w:ascii="Times New Roman" w:hAnsi="Times New Roman" w:cs="Times New Roman"/>
          <w:lang w:val="en-US"/>
        </w:rPr>
        <w:t>, which</w:t>
      </w:r>
      <w:r>
        <w:rPr>
          <w:rFonts w:ascii="Times New Roman" w:hAnsi="Times New Roman" w:cs="Times New Roman"/>
          <w:lang w:val="en-US"/>
        </w:rPr>
        <w:t xml:space="preserve"> amount</w:t>
      </w:r>
      <w:r w:rsidR="00F06E24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to </w:t>
      </w:r>
      <w:r w:rsidR="00283376">
        <w:rPr>
          <w:rFonts w:ascii="Times New Roman" w:hAnsi="Times New Roman" w:cs="Times New Roman"/>
          <w:lang w:val="en-US"/>
        </w:rPr>
        <w:t>variable parts</w:t>
      </w:r>
      <w:r w:rsidR="00F06E24">
        <w:rPr>
          <w:rFonts w:ascii="Times New Roman" w:hAnsi="Times New Roman" w:cs="Times New Roman"/>
          <w:lang w:val="en-US"/>
        </w:rPr>
        <w:t xml:space="preserve"> (variable embodiments that are parts)</w:t>
      </w:r>
      <w:r w:rsidR="00283376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Slots </w:t>
      </w:r>
      <w:r w:rsidR="00F06E24">
        <w:rPr>
          <w:rFonts w:ascii="Times New Roman" w:hAnsi="Times New Roman" w:cs="Times New Roman"/>
          <w:lang w:val="en-US"/>
        </w:rPr>
        <w:t xml:space="preserve">on that view </w:t>
      </w:r>
      <w:r>
        <w:rPr>
          <w:rFonts w:ascii="Times New Roman" w:hAnsi="Times New Roman" w:cs="Times New Roman"/>
          <w:lang w:val="en-US"/>
        </w:rPr>
        <w:t>arise from the composition</w:t>
      </w:r>
      <w:r w:rsidR="0028337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of structure in</w:t>
      </w:r>
      <w:r w:rsidR="0028337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terms of relations or properties</w:t>
      </w:r>
      <w:r w:rsidR="00F06E24">
        <w:rPr>
          <w:rFonts w:ascii="Times New Roman" w:hAnsi="Times New Roman" w:cs="Times New Roman"/>
          <w:lang w:val="en-US"/>
        </w:rPr>
        <w:t xml:space="preserve"> that are conjoined relative to particular positions</w:t>
      </w:r>
      <w:r>
        <w:rPr>
          <w:rFonts w:ascii="Times New Roman" w:hAnsi="Times New Roman" w:cs="Times New Roman"/>
          <w:lang w:val="en-US"/>
        </w:rPr>
        <w:t xml:space="preserve">. </w:t>
      </w:r>
      <w:r w:rsidR="00F06E24">
        <w:rPr>
          <w:rFonts w:ascii="Times New Roman" w:hAnsi="Times New Roman" w:cs="Times New Roman"/>
          <w:lang w:val="en-US"/>
        </w:rPr>
        <w:t xml:space="preserve">   </w:t>
      </w:r>
    </w:p>
    <w:p w:rsidR="00F06E24" w:rsidRDefault="00F06E2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915D31">
        <w:rPr>
          <w:rFonts w:ascii="Times New Roman" w:hAnsi="Times New Roman" w:cs="Times New Roman"/>
          <w:lang w:val="en-US"/>
        </w:rPr>
        <w:t xml:space="preserve">A structure as a whole has a realization at a particular circumstance, which involves filling open slots at that circumstance. </w:t>
      </w:r>
      <w:r w:rsidR="00283376">
        <w:rPr>
          <w:rFonts w:ascii="Times New Roman" w:hAnsi="Times New Roman" w:cs="Times New Roman"/>
          <w:lang w:val="en-US"/>
        </w:rPr>
        <w:t>The overall structure then needs to be preserved for different circumstances or at least is subject to relative continuity for</w:t>
      </w:r>
      <w:r>
        <w:rPr>
          <w:rFonts w:ascii="Times New Roman" w:hAnsi="Times New Roman" w:cs="Times New Roman"/>
          <w:lang w:val="en-US"/>
        </w:rPr>
        <w:t xml:space="preserve"> subsequent</w:t>
      </w:r>
      <w:r w:rsidR="00283376">
        <w:rPr>
          <w:rFonts w:ascii="Times New Roman" w:hAnsi="Times New Roman" w:cs="Times New Roman"/>
          <w:lang w:val="en-US"/>
        </w:rPr>
        <w:t xml:space="preserve"> times. </w:t>
      </w:r>
    </w:p>
    <w:p w:rsidR="00915D31" w:rsidRDefault="00F06E2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A</w:t>
      </w:r>
      <w:r w:rsidR="00283376">
        <w:rPr>
          <w:rFonts w:ascii="Times New Roman" w:hAnsi="Times New Roman" w:cs="Times New Roman"/>
          <w:lang w:val="en-US"/>
        </w:rPr>
        <w:t xml:space="preserve"> structure </w:t>
      </w:r>
      <w:r>
        <w:rPr>
          <w:rFonts w:ascii="Times New Roman" w:hAnsi="Times New Roman" w:cs="Times New Roman"/>
          <w:lang w:val="en-US"/>
        </w:rPr>
        <w:t xml:space="preserve">that </w:t>
      </w:r>
      <w:r w:rsidR="00283376">
        <w:rPr>
          <w:rFonts w:ascii="Times New Roman" w:hAnsi="Times New Roman" w:cs="Times New Roman"/>
          <w:lang w:val="en-US"/>
        </w:rPr>
        <w:t>permit</w:t>
      </w:r>
      <w:r>
        <w:rPr>
          <w:rFonts w:ascii="Times New Roman" w:hAnsi="Times New Roman" w:cs="Times New Roman"/>
          <w:lang w:val="en-US"/>
        </w:rPr>
        <w:t>s</w:t>
      </w:r>
      <w:r w:rsidR="00283376">
        <w:rPr>
          <w:rFonts w:ascii="Times New Roman" w:hAnsi="Times New Roman" w:cs="Times New Roman"/>
          <w:lang w:val="en-US"/>
        </w:rPr>
        <w:t xml:space="preserve"> replacement </w:t>
      </w:r>
      <w:r>
        <w:rPr>
          <w:rFonts w:ascii="Times New Roman" w:hAnsi="Times New Roman" w:cs="Times New Roman"/>
          <w:lang w:val="en-US"/>
        </w:rPr>
        <w:t>may involve</w:t>
      </w:r>
      <w:r w:rsidR="00283376">
        <w:rPr>
          <w:rFonts w:ascii="Times New Roman" w:hAnsi="Times New Roman" w:cs="Times New Roman"/>
          <w:lang w:val="en-US"/>
        </w:rPr>
        <w:t xml:space="preserve"> different </w:t>
      </w:r>
      <w:r>
        <w:rPr>
          <w:rFonts w:ascii="Times New Roman" w:hAnsi="Times New Roman" w:cs="Times New Roman"/>
          <w:lang w:val="en-US"/>
        </w:rPr>
        <w:t>variable parts or a single slot</w:t>
      </w:r>
      <w:r w:rsidR="00283376">
        <w:rPr>
          <w:rFonts w:ascii="Times New Roman" w:hAnsi="Times New Roman" w:cs="Times New Roman"/>
          <w:lang w:val="en-US"/>
        </w:rPr>
        <w:t xml:space="preserve">. ‘The water in the container’ comes with a single </w:t>
      </w:r>
      <w:r>
        <w:rPr>
          <w:rFonts w:ascii="Times New Roman" w:hAnsi="Times New Roman" w:cs="Times New Roman"/>
          <w:lang w:val="en-US"/>
        </w:rPr>
        <w:t>slot</w:t>
      </w:r>
      <w:r w:rsidR="00283376">
        <w:rPr>
          <w:rFonts w:ascii="Times New Roman" w:hAnsi="Times New Roman" w:cs="Times New Roman"/>
          <w:lang w:val="en-US"/>
        </w:rPr>
        <w:t xml:space="preserve"> individuated in terms of boundary-defining relations involving the parts of the container.  </w:t>
      </w:r>
    </w:p>
    <w:p w:rsidR="00283376" w:rsidRDefault="00F06E2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="00283376">
        <w:rPr>
          <w:rFonts w:ascii="Times New Roman" w:hAnsi="Times New Roman" w:cs="Times New Roman"/>
          <w:lang w:val="en-US"/>
        </w:rPr>
        <w:t>There is significant linguistic evidence for positions and slots. First</w:t>
      </w:r>
      <w:r>
        <w:rPr>
          <w:rFonts w:ascii="Times New Roman" w:hAnsi="Times New Roman" w:cs="Times New Roman"/>
          <w:lang w:val="en-US"/>
        </w:rPr>
        <w:t>,</w:t>
      </w:r>
      <w:r w:rsidR="00283376">
        <w:rPr>
          <w:rFonts w:ascii="Times New Roman" w:hAnsi="Times New Roman" w:cs="Times New Roman"/>
          <w:lang w:val="en-US"/>
        </w:rPr>
        <w:t xml:space="preserve"> the noun </w:t>
      </w:r>
      <w:r w:rsidR="00283376" w:rsidRPr="00F06E24">
        <w:rPr>
          <w:rFonts w:ascii="Times New Roman" w:hAnsi="Times New Roman" w:cs="Times New Roman"/>
          <w:i/>
          <w:iCs/>
          <w:lang w:val="en-US"/>
        </w:rPr>
        <w:t>place</w:t>
      </w:r>
      <w:r w:rsidR="00283376">
        <w:rPr>
          <w:rFonts w:ascii="Times New Roman" w:hAnsi="Times New Roman" w:cs="Times New Roman"/>
          <w:lang w:val="en-US"/>
        </w:rPr>
        <w:t xml:space="preserve"> when not referring to spatial regions makes reference to slots: in complex predicates such as </w:t>
      </w:r>
      <w:r w:rsidR="00283376" w:rsidRPr="00F06E24">
        <w:rPr>
          <w:rFonts w:ascii="Times New Roman" w:hAnsi="Times New Roman" w:cs="Times New Roman"/>
          <w:i/>
          <w:iCs/>
          <w:lang w:val="en-US"/>
        </w:rPr>
        <w:t>re-place</w:t>
      </w:r>
      <w:r w:rsidR="00283376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and expressions like </w:t>
      </w:r>
      <w:r w:rsidR="00283376" w:rsidRPr="00F06E24">
        <w:rPr>
          <w:rFonts w:ascii="Times New Roman" w:hAnsi="Times New Roman" w:cs="Times New Roman"/>
          <w:i/>
          <w:iCs/>
          <w:lang w:val="en-US"/>
        </w:rPr>
        <w:t>in place of</w:t>
      </w:r>
      <w:r w:rsidR="00283376">
        <w:rPr>
          <w:rFonts w:ascii="Times New Roman" w:hAnsi="Times New Roman" w:cs="Times New Roman"/>
          <w:lang w:val="en-US"/>
        </w:rPr>
        <w:t xml:space="preserve">, </w:t>
      </w:r>
      <w:r w:rsidR="00283376" w:rsidRPr="00F06E24">
        <w:rPr>
          <w:rFonts w:ascii="Times New Roman" w:hAnsi="Times New Roman" w:cs="Times New Roman"/>
          <w:i/>
          <w:iCs/>
          <w:lang w:val="en-US"/>
        </w:rPr>
        <w:t>instead of</w:t>
      </w:r>
      <w:r w:rsidR="00283376">
        <w:rPr>
          <w:rFonts w:ascii="Times New Roman" w:hAnsi="Times New Roman" w:cs="Times New Roman"/>
          <w:lang w:val="en-US"/>
        </w:rPr>
        <w:t xml:space="preserve"> (</w:t>
      </w:r>
      <w:r w:rsidR="00283376" w:rsidRPr="00F06E24">
        <w:rPr>
          <w:rFonts w:ascii="Times New Roman" w:hAnsi="Times New Roman" w:cs="Times New Roman"/>
          <w:i/>
          <w:iCs/>
          <w:lang w:val="en-US"/>
        </w:rPr>
        <w:t>stead</w:t>
      </w:r>
      <w:r w:rsidR="0028337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originally meant</w:t>
      </w:r>
      <w:r w:rsidR="00283376">
        <w:rPr>
          <w:rFonts w:ascii="Times New Roman" w:hAnsi="Times New Roman" w:cs="Times New Roman"/>
          <w:lang w:val="en-US"/>
        </w:rPr>
        <w:t xml:space="preserve"> ‘place’), </w:t>
      </w:r>
      <w:r w:rsidR="00283376" w:rsidRPr="00F06E24">
        <w:rPr>
          <w:rFonts w:ascii="Times New Roman" w:hAnsi="Times New Roman" w:cs="Times New Roman"/>
          <w:i/>
          <w:iCs/>
          <w:lang w:val="en-US"/>
        </w:rPr>
        <w:t>in several places</w:t>
      </w:r>
      <w:r w:rsidR="00283376">
        <w:rPr>
          <w:rFonts w:ascii="Times New Roman" w:hAnsi="Times New Roman" w:cs="Times New Roman"/>
          <w:lang w:val="en-US"/>
        </w:rPr>
        <w:t>. Second</w:t>
      </w:r>
      <w:r>
        <w:rPr>
          <w:rFonts w:ascii="Times New Roman" w:hAnsi="Times New Roman" w:cs="Times New Roman"/>
          <w:lang w:val="en-US"/>
        </w:rPr>
        <w:t>,</w:t>
      </w:r>
      <w:r w:rsidR="00283376">
        <w:rPr>
          <w:rFonts w:ascii="Times New Roman" w:hAnsi="Times New Roman" w:cs="Times New Roman"/>
          <w:lang w:val="en-US"/>
        </w:rPr>
        <w:t xml:space="preserve"> </w:t>
      </w:r>
      <w:r w:rsidR="00283376" w:rsidRPr="00F06E24">
        <w:rPr>
          <w:rFonts w:ascii="Times New Roman" w:hAnsi="Times New Roman" w:cs="Times New Roman"/>
          <w:i/>
          <w:iCs/>
          <w:lang w:val="en-US"/>
        </w:rPr>
        <w:t>part</w:t>
      </w:r>
      <w:r w:rsidR="00283376">
        <w:rPr>
          <w:rFonts w:ascii="Times New Roman" w:hAnsi="Times New Roman" w:cs="Times New Roman"/>
          <w:lang w:val="en-US"/>
        </w:rPr>
        <w:t xml:space="preserve"> in predicates of participation (</w:t>
      </w:r>
      <w:r w:rsidR="00283376" w:rsidRPr="00F06E24">
        <w:rPr>
          <w:rFonts w:ascii="Times New Roman" w:hAnsi="Times New Roman" w:cs="Times New Roman"/>
          <w:i/>
          <w:iCs/>
          <w:lang w:val="en-US"/>
        </w:rPr>
        <w:t>take part in, be part of</w:t>
      </w:r>
      <w:r w:rsidR="00283376">
        <w:rPr>
          <w:rFonts w:ascii="Times New Roman" w:hAnsi="Times New Roman" w:cs="Times New Roman"/>
          <w:lang w:val="en-US"/>
        </w:rPr>
        <w:t>) refers to slots in plans of events</w:t>
      </w:r>
      <w:r>
        <w:rPr>
          <w:rFonts w:ascii="Times New Roman" w:hAnsi="Times New Roman" w:cs="Times New Roman"/>
          <w:lang w:val="en-US"/>
        </w:rPr>
        <w:t xml:space="preserve">, with </w:t>
      </w:r>
      <w:r w:rsidRPr="00F06E24">
        <w:rPr>
          <w:rFonts w:ascii="Times New Roman" w:hAnsi="Times New Roman" w:cs="Times New Roman"/>
          <w:i/>
          <w:iCs/>
          <w:lang w:val="en-US"/>
        </w:rPr>
        <w:t>take part</w:t>
      </w:r>
      <w:r>
        <w:rPr>
          <w:rFonts w:ascii="Times New Roman" w:hAnsi="Times New Roman" w:cs="Times New Roman"/>
          <w:lang w:val="en-US"/>
        </w:rPr>
        <w:t xml:space="preserve"> </w:t>
      </w:r>
      <w:r w:rsidRPr="00F06E24">
        <w:rPr>
          <w:rFonts w:ascii="Times New Roman" w:hAnsi="Times New Roman" w:cs="Times New Roman"/>
          <w:i/>
          <w:iCs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relating to open slots and </w:t>
      </w:r>
      <w:r w:rsidRPr="00F06E24">
        <w:rPr>
          <w:rFonts w:ascii="Times New Roman" w:hAnsi="Times New Roman" w:cs="Times New Roman"/>
          <w:i/>
          <w:iCs/>
          <w:lang w:val="en-US"/>
        </w:rPr>
        <w:t>be part of</w:t>
      </w:r>
      <w:r>
        <w:rPr>
          <w:rFonts w:ascii="Times New Roman" w:hAnsi="Times New Roman" w:cs="Times New Roman"/>
          <w:lang w:val="en-US"/>
        </w:rPr>
        <w:t xml:space="preserve"> to specified slots:</w:t>
      </w:r>
    </w:p>
    <w:p w:rsidR="00F06E24" w:rsidRDefault="0028337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F06E24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 xml:space="preserve">) </w:t>
      </w:r>
      <w:r w:rsidR="00F06E24">
        <w:rPr>
          <w:rFonts w:ascii="Times New Roman" w:hAnsi="Times New Roman" w:cs="Times New Roman"/>
          <w:lang w:val="en-US"/>
        </w:rPr>
        <w:t>a. I</w:t>
      </w:r>
      <w:r>
        <w:rPr>
          <w:rFonts w:ascii="Times New Roman" w:hAnsi="Times New Roman" w:cs="Times New Roman"/>
          <w:lang w:val="en-US"/>
        </w:rPr>
        <w:t xml:space="preserve"> </w:t>
      </w:r>
      <w:r w:rsidR="00F06E24">
        <w:rPr>
          <w:rFonts w:ascii="Times New Roman" w:hAnsi="Times New Roman" w:cs="Times New Roman"/>
          <w:lang w:val="en-US"/>
        </w:rPr>
        <w:t>took part in / ???? was part of</w:t>
      </w:r>
      <w:r>
        <w:rPr>
          <w:rFonts w:ascii="Times New Roman" w:hAnsi="Times New Roman" w:cs="Times New Roman"/>
          <w:lang w:val="en-US"/>
        </w:rPr>
        <w:t xml:space="preserve"> the </w:t>
      </w:r>
      <w:r w:rsidR="00F06E24">
        <w:rPr>
          <w:rFonts w:ascii="Times New Roman" w:hAnsi="Times New Roman" w:cs="Times New Roman"/>
          <w:lang w:val="en-US"/>
        </w:rPr>
        <w:t xml:space="preserve">mass. </w:t>
      </w:r>
    </w:p>
    <w:p w:rsidR="00283376" w:rsidRDefault="00F06E2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="00283376">
        <w:rPr>
          <w:rFonts w:ascii="Times New Roman" w:hAnsi="Times New Roman" w:cs="Times New Roman"/>
          <w:lang w:val="en-US"/>
        </w:rPr>
        <w:t xml:space="preserve">b. </w:t>
      </w:r>
      <w:r>
        <w:rPr>
          <w:rFonts w:ascii="Times New Roman" w:hAnsi="Times New Roman" w:cs="Times New Roman"/>
          <w:lang w:val="en-US"/>
        </w:rPr>
        <w:t>The priest was part of / took part in the mass.</w:t>
      </w:r>
    </w:p>
    <w:p w:rsidR="00283376" w:rsidRPr="00F06E24" w:rsidRDefault="00283376" w:rsidP="00F06E24">
      <w:pPr>
        <w:rPr>
          <w:rFonts w:ascii="Times New Roman" w:hAnsi="Times New Roman" w:cs="Times New Roman"/>
          <w:b/>
          <w:bCs/>
          <w:lang w:val="en-US"/>
        </w:rPr>
      </w:pPr>
      <w:r w:rsidRPr="00F06E24">
        <w:rPr>
          <w:rFonts w:ascii="Times New Roman" w:hAnsi="Times New Roman" w:cs="Times New Roman"/>
          <w:b/>
          <w:bCs/>
          <w:lang w:val="en-US"/>
        </w:rPr>
        <w:t>References</w:t>
      </w:r>
    </w:p>
    <w:p w:rsidR="00F06E24" w:rsidRPr="00F06E24" w:rsidRDefault="00F06E24" w:rsidP="00F06E24">
      <w:pPr>
        <w:ind w:left="-4"/>
        <w:rPr>
          <w:rFonts w:ascii="Times New Roman" w:hAnsi="Times New Roman" w:cs="Times New Roman"/>
          <w:color w:val="242424"/>
        </w:rPr>
      </w:pPr>
      <w:r w:rsidRPr="00F06E24">
        <w:rPr>
          <w:rFonts w:ascii="Times New Roman" w:hAnsi="Times New Roman" w:cs="Times New Roman"/>
        </w:rPr>
        <w:t>Bennett, K. (2013): ‘Having a Part Twice Over’.</w:t>
      </w:r>
      <w:r w:rsidRPr="00F06E24">
        <w:rPr>
          <w:rFonts w:ascii="Times New Roman" w:hAnsi="Times New Roman" w:cs="Times New Roman"/>
          <w:color w:val="242424"/>
        </w:rPr>
        <w:t xml:space="preserve"> </w:t>
      </w:r>
      <w:r w:rsidRPr="00F06E24">
        <w:rPr>
          <w:rFonts w:ascii="Times New Roman" w:hAnsi="Times New Roman" w:cs="Times New Roman"/>
          <w:i/>
          <w:color w:val="242424"/>
        </w:rPr>
        <w:t>The Austral</w:t>
      </w:r>
      <w:r>
        <w:rPr>
          <w:rFonts w:ascii="Times New Roman" w:hAnsi="Times New Roman" w:cs="Times New Roman"/>
          <w:i/>
          <w:color w:val="242424"/>
          <w:lang w:val="fr-FR"/>
        </w:rPr>
        <w:t>.</w:t>
      </w:r>
      <w:r w:rsidRPr="00F06E24">
        <w:rPr>
          <w:rFonts w:ascii="Times New Roman" w:hAnsi="Times New Roman" w:cs="Times New Roman"/>
          <w:i/>
          <w:color w:val="242424"/>
        </w:rPr>
        <w:t xml:space="preserve"> J</w:t>
      </w:r>
      <w:r w:rsidRPr="00F06E24">
        <w:rPr>
          <w:rFonts w:ascii="Times New Roman" w:hAnsi="Times New Roman" w:cs="Times New Roman"/>
          <w:i/>
          <w:color w:val="242424"/>
          <w:lang w:val="en-US"/>
        </w:rPr>
        <w:t>.</w:t>
      </w:r>
      <w:r w:rsidRPr="00F06E24">
        <w:rPr>
          <w:rFonts w:ascii="Times New Roman" w:hAnsi="Times New Roman" w:cs="Times New Roman"/>
          <w:i/>
          <w:color w:val="242424"/>
        </w:rPr>
        <w:t xml:space="preserve"> of Philosophy </w:t>
      </w:r>
      <w:r w:rsidRPr="00F06E24">
        <w:rPr>
          <w:rFonts w:ascii="Times New Roman" w:hAnsi="Times New Roman" w:cs="Times New Roman"/>
          <w:color w:val="242424"/>
        </w:rPr>
        <w:t xml:space="preserve">91, 83-103 </w:t>
      </w:r>
    </w:p>
    <w:p w:rsidR="00F06E24" w:rsidRPr="00F06E24" w:rsidRDefault="00F06E24" w:rsidP="00F06E24">
      <w:pPr>
        <w:ind w:left="1"/>
        <w:rPr>
          <w:rFonts w:ascii="Times New Roman" w:hAnsi="Times New Roman" w:cs="Times New Roman"/>
          <w:i/>
          <w:color w:val="333333"/>
        </w:rPr>
      </w:pPr>
      <w:r w:rsidRPr="00F06E24">
        <w:rPr>
          <w:rFonts w:ascii="Times New Roman" w:hAnsi="Times New Roman" w:cs="Times New Roman"/>
          <w:color w:val="333333"/>
        </w:rPr>
        <w:t xml:space="preserve">Dixon, S. (2018): ‘Plural Slot Theory‘. Karen Bennett &amp; Dean W. Zimmerman, </w:t>
      </w:r>
      <w:r w:rsidRPr="00F06E24">
        <w:rPr>
          <w:rFonts w:ascii="Times New Roman" w:hAnsi="Times New Roman" w:cs="Times New Roman"/>
          <w:i/>
          <w:color w:val="333333"/>
        </w:rPr>
        <w:t xml:space="preserve">Oxford </w:t>
      </w:r>
    </w:p>
    <w:p w:rsidR="00F06E24" w:rsidRPr="00F06E24" w:rsidRDefault="00F06E24" w:rsidP="00F06E24">
      <w:pPr>
        <w:ind w:left="1"/>
        <w:rPr>
          <w:rFonts w:ascii="Times New Roman" w:hAnsi="Times New Roman" w:cs="Times New Roman"/>
          <w:color w:val="333333"/>
        </w:rPr>
      </w:pPr>
      <w:r w:rsidRPr="00F06E24">
        <w:rPr>
          <w:rFonts w:ascii="Times New Roman" w:hAnsi="Times New Roman" w:cs="Times New Roman"/>
          <w:color w:val="333333"/>
          <w:lang w:val="de-DE"/>
        </w:rPr>
        <w:t xml:space="preserve">     </w:t>
      </w:r>
      <w:r w:rsidRPr="00F06E24">
        <w:rPr>
          <w:rFonts w:ascii="Times New Roman" w:hAnsi="Times New Roman" w:cs="Times New Roman"/>
          <w:i/>
          <w:color w:val="333333"/>
        </w:rPr>
        <w:t>Studies in  Metaphysics Volume 11</w:t>
      </w:r>
      <w:r w:rsidRPr="00F06E24">
        <w:rPr>
          <w:rFonts w:ascii="Times New Roman" w:hAnsi="Times New Roman" w:cs="Times New Roman"/>
          <w:color w:val="333333"/>
        </w:rPr>
        <w:t xml:space="preserve">. pp. 193-223 </w:t>
      </w:r>
    </w:p>
    <w:p w:rsidR="00F06E24" w:rsidRPr="00F06E24" w:rsidRDefault="00F06E24" w:rsidP="00F06E24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F06E24">
        <w:rPr>
          <w:rFonts w:ascii="Times New Roman" w:hAnsi="Times New Roman" w:cs="Times New Roman"/>
          <w:lang w:val="en-US"/>
        </w:rPr>
        <w:t xml:space="preserve">Fine, K. (1999): ‘Things and Their Parts’. </w:t>
      </w:r>
      <w:r w:rsidRPr="00F06E24">
        <w:rPr>
          <w:rFonts w:ascii="Times New Roman" w:hAnsi="Times New Roman" w:cs="Times New Roman"/>
          <w:i/>
          <w:iCs/>
          <w:lang w:val="en-US"/>
        </w:rPr>
        <w:t>Midwest Studies in Philosophy</w:t>
      </w:r>
      <w:r w:rsidRPr="00F06E24">
        <w:rPr>
          <w:rFonts w:ascii="Times New Roman" w:hAnsi="Times New Roman" w:cs="Times New Roman"/>
          <w:lang w:val="en-US"/>
        </w:rPr>
        <w:t xml:space="preserve"> 23(1), 61–74. </w:t>
      </w:r>
    </w:p>
    <w:p w:rsidR="00F06E24" w:rsidRPr="00F06E24" w:rsidRDefault="00F06E24" w:rsidP="00F06E24">
      <w:pPr>
        <w:ind w:left="-4"/>
        <w:rPr>
          <w:rFonts w:ascii="Times New Roman" w:hAnsi="Times New Roman" w:cs="Times New Roman"/>
        </w:rPr>
      </w:pPr>
      <w:r w:rsidRPr="00F06E24">
        <w:rPr>
          <w:rFonts w:ascii="Times New Roman" w:hAnsi="Times New Roman" w:cs="Times New Roman"/>
        </w:rPr>
        <w:t xml:space="preserve">Fine, K. (2000): ‘Neutral Relations’. </w:t>
      </w:r>
      <w:r w:rsidRPr="00F06E24">
        <w:rPr>
          <w:rFonts w:ascii="Times New Roman" w:hAnsi="Times New Roman" w:cs="Times New Roman"/>
          <w:i/>
        </w:rPr>
        <w:t>Philosophical Review</w:t>
      </w:r>
      <w:r w:rsidRPr="00F06E24">
        <w:rPr>
          <w:rFonts w:ascii="Times New Roman" w:hAnsi="Times New Roman" w:cs="Times New Roman"/>
        </w:rPr>
        <w:t xml:space="preserve"> 109.1., 1-33.</w:t>
      </w:r>
    </w:p>
    <w:p w:rsidR="00F06E24" w:rsidRPr="00F01F9A" w:rsidRDefault="00F06E24" w:rsidP="00F06E24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F06E24">
        <w:rPr>
          <w:rFonts w:ascii="Times New Roman" w:hAnsi="Times New Roman" w:cs="Times New Roman"/>
          <w:lang w:val="en-US"/>
        </w:rPr>
        <w:t xml:space="preserve">Fine, K. (1999): ‘Things and Their Parts’. </w:t>
      </w:r>
      <w:r w:rsidRPr="00F06E24">
        <w:rPr>
          <w:rFonts w:ascii="Times New Roman" w:hAnsi="Times New Roman" w:cs="Times New Roman"/>
          <w:i/>
          <w:iCs/>
          <w:lang w:val="en-US"/>
        </w:rPr>
        <w:t>Midwest Studies in Philosophy</w:t>
      </w:r>
      <w:r w:rsidRPr="00F06E24">
        <w:rPr>
          <w:rFonts w:ascii="Times New Roman" w:hAnsi="Times New Roman" w:cs="Times New Roman"/>
          <w:lang w:val="en-US"/>
        </w:rPr>
        <w:t xml:space="preserve"> 23(1), 61–74. </w:t>
      </w:r>
    </w:p>
    <w:sectPr w:rsidR="00F06E24" w:rsidRPr="00F01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15"/>
    <w:rsid w:val="001952DF"/>
    <w:rsid w:val="00283376"/>
    <w:rsid w:val="002B0015"/>
    <w:rsid w:val="00447326"/>
    <w:rsid w:val="004A7DA2"/>
    <w:rsid w:val="00863D60"/>
    <w:rsid w:val="00915D31"/>
    <w:rsid w:val="00F01F9A"/>
    <w:rsid w:val="00F06E24"/>
    <w:rsid w:val="00FB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956AFD"/>
  <w15:chartTrackingRefBased/>
  <w15:docId w15:val="{E0BB858E-6006-904C-B92F-C488BAA7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F9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06E2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06E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1FC28C-E85A-1B48-83B9-CAB1A1DB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668</Words>
  <Characters>3554</Characters>
  <Application>Microsoft Office Word</Application>
  <DocSecurity>0</DocSecurity>
  <Lines>50</Lines>
  <Paragraphs>22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8</cp:revision>
  <dcterms:created xsi:type="dcterms:W3CDTF">2025-12-31T21:32:00Z</dcterms:created>
  <dcterms:modified xsi:type="dcterms:W3CDTF">2026-01-01T00:59:00Z</dcterms:modified>
</cp:coreProperties>
</file>